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C3DA13">
      <w:pPr>
        <w:pStyle w:val="3"/>
        <w:adjustRightInd w:val="0"/>
        <w:snapToGrid w:val="0"/>
        <w:spacing w:line="360" w:lineRule="auto"/>
        <w:ind w:left="420" w:hanging="420"/>
        <w:jc w:val="center"/>
        <w:outlineLvl w:val="1"/>
        <w:rPr>
          <w:rFonts w:hAnsi="宋体"/>
          <w:b/>
          <w:color w:val="000000" w:themeColor="text1"/>
          <w:sz w:val="30"/>
          <w:szCs w:val="30"/>
          <w14:textFill>
            <w14:solidFill>
              <w14:schemeClr w14:val="tx1"/>
            </w14:solidFill>
          </w14:textFill>
        </w:rPr>
      </w:pPr>
      <w:bookmarkStart w:id="0" w:name="_GoBack"/>
      <w:r>
        <w:rPr>
          <w:rFonts w:hint="eastAsia" w:hAnsi="宋体"/>
          <w:b/>
          <w:color w:val="000000" w:themeColor="text1"/>
          <w:sz w:val="30"/>
          <w:szCs w:val="30"/>
          <w14:textFill>
            <w14:solidFill>
              <w14:schemeClr w14:val="tx1"/>
            </w14:solidFill>
          </w14:textFill>
        </w:rPr>
        <w:t>评标方法、步骤及标准</w:t>
      </w:r>
      <w:bookmarkEnd w:id="0"/>
    </w:p>
    <w:p w14:paraId="14F3C683">
      <w:pPr>
        <w:pStyle w:val="2"/>
        <w:adjustRightInd w:val="0"/>
        <w:snapToGrid w:val="0"/>
        <w:ind w:firstLine="56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根据《中华人民共和国政府采购法》的相关规定确定以下评标方法、步骤及标准：</w:t>
      </w:r>
    </w:p>
    <w:p w14:paraId="404B5AF8">
      <w:pPr>
        <w:pStyle w:val="2"/>
        <w:adjustRightInd w:val="0"/>
        <w:snapToGrid w:val="0"/>
        <w:ind w:firstLine="480" w:firstLineChars="200"/>
        <w:rPr>
          <w:rFonts w:ascii="宋体" w:hAnsi="宋体"/>
          <w:b/>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w:t>
      </w:r>
      <w:r>
        <w:rPr>
          <w:rFonts w:hint="eastAsia" w:ascii="宋体" w:hAnsi="宋体"/>
          <w:b/>
          <w:color w:val="000000" w:themeColor="text1"/>
          <w:sz w:val="24"/>
          <w14:textFill>
            <w14:solidFill>
              <w14:schemeClr w14:val="tx1"/>
            </w14:solidFill>
          </w14:textFill>
        </w:rPr>
        <w:t>评标方法</w:t>
      </w:r>
    </w:p>
    <w:p w14:paraId="34DC0C88">
      <w:pPr>
        <w:pStyle w:val="3"/>
        <w:tabs>
          <w:tab w:val="left" w:pos="1800"/>
        </w:tabs>
        <w:adjustRightInd w:val="0"/>
        <w:snapToGrid w:val="0"/>
        <w:spacing w:line="360" w:lineRule="auto"/>
        <w:ind w:left="525" w:leftChars="250"/>
        <w:jc w:val="left"/>
        <w:rPr>
          <w:rFonts w:hAnsi="宋体"/>
          <w:color w:val="000000" w:themeColor="text1"/>
          <w:kern w:val="0"/>
          <w:sz w:val="24"/>
          <w14:textFill>
            <w14:solidFill>
              <w14:schemeClr w14:val="tx1"/>
            </w14:solidFill>
          </w14:textFill>
        </w:rPr>
      </w:pPr>
      <w:r>
        <w:rPr>
          <w:rFonts w:hAnsi="宋体"/>
          <w:color w:val="000000" w:themeColor="text1"/>
          <w:kern w:val="0"/>
          <w:sz w:val="24"/>
          <w14:textFill>
            <w14:solidFill>
              <w14:schemeClr w14:val="tx1"/>
            </w14:solidFill>
          </w14:textFill>
        </w:rPr>
        <w:t>1.1</w:t>
      </w:r>
      <w:r>
        <w:rPr>
          <w:rFonts w:hint="eastAsia" w:hAnsi="宋体"/>
          <w:color w:val="000000" w:themeColor="text1"/>
          <w:kern w:val="0"/>
          <w:sz w:val="24"/>
          <w:u w:val="single"/>
          <w14:textFill>
            <w14:solidFill>
              <w14:schemeClr w14:val="tx1"/>
            </w14:solidFill>
          </w14:textFill>
        </w:rPr>
        <w:t>本次评标采用综合评分法（总分100分）</w:t>
      </w:r>
      <w:r>
        <w:rPr>
          <w:rFonts w:hint="eastAsia" w:hAnsi="宋体"/>
          <w:color w:val="000000" w:themeColor="text1"/>
          <w:kern w:val="0"/>
          <w:sz w:val="24"/>
          <w14:textFill>
            <w14:solidFill>
              <w14:schemeClr w14:val="tx1"/>
            </w14:solidFill>
          </w14:textFill>
        </w:rPr>
        <w:t>，即对满足资质</w:t>
      </w:r>
      <w:r>
        <w:rPr>
          <w:rFonts w:hAnsi="宋体"/>
          <w:color w:val="000000" w:themeColor="text1"/>
          <w:kern w:val="0"/>
          <w:sz w:val="24"/>
          <w14:textFill>
            <w14:solidFill>
              <w14:schemeClr w14:val="tx1"/>
            </w14:solidFill>
          </w14:textFill>
        </w:rPr>
        <w:t>要求</w:t>
      </w:r>
      <w:r>
        <w:rPr>
          <w:rFonts w:hint="eastAsia" w:hAnsi="宋体"/>
          <w:color w:val="000000" w:themeColor="text1"/>
          <w:kern w:val="0"/>
          <w:sz w:val="24"/>
          <w14:textFill>
            <w14:solidFill>
              <w14:schemeClr w14:val="tx1"/>
            </w14:solidFill>
          </w14:textFill>
        </w:rPr>
        <w:t>的各投标人的技术、商务、价格进行评审、比较，并量化打分，最后根据各项得分之和</w:t>
      </w:r>
      <w:r>
        <w:rPr>
          <w:rFonts w:hint="eastAsia" w:hAnsi="宋体"/>
          <w:b/>
          <w:color w:val="000000" w:themeColor="text1"/>
          <w:kern w:val="0"/>
          <w:sz w:val="24"/>
          <w:u w:val="single"/>
          <w14:textFill>
            <w14:solidFill>
              <w14:schemeClr w14:val="tx1"/>
            </w14:solidFill>
          </w14:textFill>
        </w:rPr>
        <w:t>（</w:t>
      </w:r>
      <w:r>
        <w:rPr>
          <w:rFonts w:hint="eastAsia" w:hAnsi="宋体"/>
          <w:b/>
          <w:color w:val="000000" w:themeColor="text1"/>
          <w:sz w:val="24"/>
          <w:u w:val="single"/>
          <w14:textFill>
            <w14:solidFill>
              <w14:schemeClr w14:val="tx1"/>
            </w14:solidFill>
          </w14:textFill>
        </w:rPr>
        <w:t>技术评价总分50分、商务评价总分30分、价格评价总分20分</w:t>
      </w:r>
      <w:r>
        <w:rPr>
          <w:rFonts w:hint="eastAsia" w:hAnsi="宋体"/>
          <w:b/>
          <w:color w:val="000000" w:themeColor="text1"/>
          <w:kern w:val="0"/>
          <w:sz w:val="24"/>
          <w:u w:val="single"/>
          <w14:textFill>
            <w14:solidFill>
              <w14:schemeClr w14:val="tx1"/>
            </w14:solidFill>
          </w14:textFill>
        </w:rPr>
        <w:t>）</w:t>
      </w:r>
      <w:r>
        <w:rPr>
          <w:rFonts w:hint="eastAsia" w:hAnsi="宋体"/>
          <w:color w:val="000000" w:themeColor="text1"/>
          <w:kern w:val="0"/>
          <w:sz w:val="24"/>
          <w14:textFill>
            <w14:solidFill>
              <w14:schemeClr w14:val="tx1"/>
            </w14:solidFill>
          </w14:textFill>
        </w:rPr>
        <w:t>计算出通过资格性和符合性审查投标人的综合得分。评标小组按综合得分由高到低的原则进行排序(</w:t>
      </w:r>
      <w:r>
        <w:rPr>
          <w:rFonts w:hint="eastAsia" w:hAnsi="宋体"/>
          <w:color w:val="000000" w:themeColor="text1"/>
          <w:sz w:val="24"/>
          <w14:textFill>
            <w14:solidFill>
              <w14:schemeClr w14:val="tx1"/>
            </w14:solidFill>
          </w14:textFill>
        </w:rPr>
        <w:t>综合得分相同的，按下列顺序比较确定：（1）节能产品；（2）环保产品；（3）投标报价（由低到高）；（4）技术部分（或技术商务部分）得分（由高到低）；（5）技术部分（或技术商务部分）评审项目中分值权重占技术部分（或技术商务部分）总分值权重由高到低的次序（得分由高到低）。</w:t>
      </w:r>
      <w:r>
        <w:rPr>
          <w:rFonts w:hint="eastAsia" w:hAnsi="宋体"/>
          <w:color w:val="000000" w:themeColor="text1"/>
          <w:kern w:val="0"/>
          <w:sz w:val="24"/>
          <w14:textFill>
            <w14:solidFill>
              <w14:schemeClr w14:val="tx1"/>
            </w14:solidFill>
          </w14:textFill>
        </w:rPr>
        <w:t>综合得分相同、评标价和技术</w:t>
      </w:r>
      <w:r>
        <w:rPr>
          <w:rFonts w:hint="eastAsia" w:hAnsi="宋体"/>
          <w:color w:val="000000" w:themeColor="text1"/>
          <w:sz w:val="24"/>
          <w14:textFill>
            <w14:solidFill>
              <w14:schemeClr w14:val="tx1"/>
            </w14:solidFill>
          </w14:textFill>
        </w:rPr>
        <w:t>（或技术商务部分）</w:t>
      </w:r>
      <w:r>
        <w:rPr>
          <w:rFonts w:hint="eastAsia" w:hAnsi="宋体"/>
          <w:color w:val="000000" w:themeColor="text1"/>
          <w:kern w:val="0"/>
          <w:sz w:val="24"/>
          <w14:textFill>
            <w14:solidFill>
              <w14:schemeClr w14:val="tx1"/>
            </w14:solidFill>
          </w14:textFill>
        </w:rPr>
        <w:t>评分均相同的，名次由评标小组投票确定。法律法规有明确规定的，以法律法规规定为准)，推荐排名第1名的投标人为中标候选人。</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8"/>
        <w:gridCol w:w="1981"/>
        <w:gridCol w:w="2125"/>
        <w:gridCol w:w="1914"/>
      </w:tblGrid>
      <w:tr w14:paraId="5B8E0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1678" w:type="dxa"/>
            <w:vAlign w:val="center"/>
          </w:tcPr>
          <w:p w14:paraId="3243749E">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评分项目</w:t>
            </w:r>
          </w:p>
        </w:tc>
        <w:tc>
          <w:tcPr>
            <w:tcW w:w="1981" w:type="dxa"/>
            <w:vAlign w:val="center"/>
          </w:tcPr>
          <w:p w14:paraId="5A91004C">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技术评价总分</w:t>
            </w:r>
          </w:p>
        </w:tc>
        <w:tc>
          <w:tcPr>
            <w:tcW w:w="2125" w:type="dxa"/>
            <w:vAlign w:val="center"/>
          </w:tcPr>
          <w:p w14:paraId="0C933EBE">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商务评价总分</w:t>
            </w:r>
          </w:p>
        </w:tc>
        <w:tc>
          <w:tcPr>
            <w:tcW w:w="1914" w:type="dxa"/>
            <w:vAlign w:val="center"/>
          </w:tcPr>
          <w:p w14:paraId="05F9BF4E">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价格部分</w:t>
            </w:r>
          </w:p>
        </w:tc>
      </w:tr>
      <w:tr w14:paraId="57110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1678" w:type="dxa"/>
            <w:vAlign w:val="center"/>
          </w:tcPr>
          <w:p w14:paraId="0FC8732A">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分值</w:t>
            </w:r>
          </w:p>
        </w:tc>
        <w:tc>
          <w:tcPr>
            <w:tcW w:w="1981" w:type="dxa"/>
            <w:vAlign w:val="center"/>
          </w:tcPr>
          <w:p w14:paraId="52295252">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50分</w:t>
            </w:r>
          </w:p>
        </w:tc>
        <w:tc>
          <w:tcPr>
            <w:tcW w:w="2125" w:type="dxa"/>
            <w:vAlign w:val="center"/>
          </w:tcPr>
          <w:p w14:paraId="1D462F68">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30分</w:t>
            </w:r>
          </w:p>
        </w:tc>
        <w:tc>
          <w:tcPr>
            <w:tcW w:w="1914" w:type="dxa"/>
            <w:vAlign w:val="center"/>
          </w:tcPr>
          <w:p w14:paraId="4DC9E2E6">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20分</w:t>
            </w:r>
          </w:p>
        </w:tc>
      </w:tr>
    </w:tbl>
    <w:p w14:paraId="68C265C8">
      <w:pPr>
        <w:pStyle w:val="2"/>
        <w:adjustRightInd w:val="0"/>
        <w:snapToGrid w:val="0"/>
        <w:ind w:firstLine="0"/>
        <w:rPr>
          <w:rFonts w:ascii="宋体" w:hAnsi="宋体"/>
          <w:color w:val="000000" w:themeColor="text1"/>
          <w:sz w:val="24"/>
          <w14:textFill>
            <w14:solidFill>
              <w14:schemeClr w14:val="tx1"/>
            </w14:solidFill>
          </w14:textFill>
        </w:rPr>
      </w:pPr>
    </w:p>
    <w:p w14:paraId="4B3B3DA0">
      <w:pPr>
        <w:pStyle w:val="2"/>
        <w:adjustRightInd w:val="0"/>
        <w:snapToGrid w:val="0"/>
        <w:ind w:firstLine="480" w:firstLineChars="200"/>
        <w:rPr>
          <w:rFonts w:ascii="宋体" w:hAnsi="宋体"/>
          <w:b/>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2.</w:t>
      </w:r>
      <w:r>
        <w:rPr>
          <w:rFonts w:hint="eastAsia" w:ascii="宋体" w:hAnsi="宋体"/>
          <w:b/>
          <w:color w:val="000000" w:themeColor="text1"/>
          <w:sz w:val="24"/>
          <w14:textFill>
            <w14:solidFill>
              <w14:schemeClr w14:val="tx1"/>
            </w14:solidFill>
          </w14:textFill>
        </w:rPr>
        <w:t>评标步骤</w:t>
      </w:r>
    </w:p>
    <w:p w14:paraId="0684DAFA">
      <w:pPr>
        <w:pStyle w:val="2"/>
        <w:adjustRightInd w:val="0"/>
        <w:snapToGrid w:val="0"/>
        <w:ind w:left="420" w:leftChars="200" w:firstLine="0"/>
        <w:rPr>
          <w:rFonts w:ascii="宋体" w:hAnsi="宋体"/>
          <w:b/>
          <w:color w:val="000000" w:themeColor="text1"/>
          <w:sz w:val="24"/>
          <w14:textFill>
            <w14:solidFill>
              <w14:schemeClr w14:val="tx1"/>
            </w14:solidFill>
          </w14:textFill>
        </w:rPr>
      </w:pPr>
      <w:r>
        <w:rPr>
          <w:rFonts w:ascii="宋体" w:hAnsi="宋体"/>
          <w:b/>
          <w:color w:val="000000" w:themeColor="text1"/>
          <w:sz w:val="24"/>
          <w14:textFill>
            <w14:solidFill>
              <w14:schemeClr w14:val="tx1"/>
            </w14:solidFill>
          </w14:textFill>
        </w:rPr>
        <w:t>2.1</w:t>
      </w:r>
      <w:r>
        <w:rPr>
          <w:rFonts w:hint="eastAsia" w:ascii="宋体" w:hAnsi="宋体"/>
          <w:color w:val="000000" w:themeColor="text1"/>
          <w:sz w:val="24"/>
          <w14:textFill>
            <w14:solidFill>
              <w14:schemeClr w14:val="tx1"/>
            </w14:solidFill>
          </w14:textFill>
        </w:rPr>
        <w:t>采购人依法对投标人的资格进行审查。结论为合格的投标人进入评标环节（商务评议、技术评议和价格评议），合格投标人不足3家的，不得评标。</w:t>
      </w:r>
    </w:p>
    <w:p w14:paraId="7D0258AB">
      <w:pPr>
        <w:pStyle w:val="2"/>
        <w:adjustRightInd w:val="0"/>
        <w:snapToGrid w:val="0"/>
        <w:ind w:firstLine="482" w:firstLineChars="200"/>
        <w:rPr>
          <w:rFonts w:ascii="宋体" w:hAnsi="宋体"/>
          <w:color w:val="000000" w:themeColor="text1"/>
          <w:sz w:val="24"/>
          <w14:textFill>
            <w14:solidFill>
              <w14:schemeClr w14:val="tx1"/>
            </w14:solidFill>
          </w14:textFill>
        </w:rPr>
      </w:pPr>
      <w:r>
        <w:rPr>
          <w:rFonts w:ascii="宋体" w:hAnsi="宋体"/>
          <w:b/>
          <w:color w:val="000000" w:themeColor="text1"/>
          <w:sz w:val="24"/>
          <w14:textFill>
            <w14:solidFill>
              <w14:schemeClr w14:val="tx1"/>
            </w14:solidFill>
          </w14:textFill>
        </w:rPr>
        <w:t>2.2</w:t>
      </w:r>
      <w:r>
        <w:rPr>
          <w:rFonts w:hint="eastAsia" w:ascii="宋体" w:hAnsi="宋体"/>
          <w:color w:val="000000" w:themeColor="text1"/>
          <w:sz w:val="24"/>
          <w14:textFill>
            <w14:solidFill>
              <w14:schemeClr w14:val="tx1"/>
            </w14:solidFill>
          </w14:textFill>
        </w:rPr>
        <w:t xml:space="preserve">评标小组对投标文件的评审分为资格审查、比较与评价： </w:t>
      </w:r>
    </w:p>
    <w:p w14:paraId="2D426EB6">
      <w:pPr>
        <w:pStyle w:val="2"/>
        <w:tabs>
          <w:tab w:val="left" w:pos="1134"/>
        </w:tabs>
        <w:adjustRightInd w:val="0"/>
        <w:snapToGrid w:val="0"/>
        <w:ind w:firstLine="540" w:firstLineChars="225"/>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（一）</w:t>
      </w:r>
      <w:r>
        <w:rPr>
          <w:rFonts w:ascii="宋体" w:hAnsi="宋体"/>
          <w:color w:val="000000" w:themeColor="text1"/>
          <w:sz w:val="24"/>
          <w14:textFill>
            <w14:solidFill>
              <w14:schemeClr w14:val="tx1"/>
            </w14:solidFill>
          </w14:textFill>
        </w:rPr>
        <w:t>资格</w:t>
      </w:r>
      <w:r>
        <w:rPr>
          <w:rFonts w:hint="eastAsia" w:ascii="宋体" w:hAnsi="宋体"/>
          <w:color w:val="000000" w:themeColor="text1"/>
          <w:sz w:val="24"/>
          <w14:textFill>
            <w14:solidFill>
              <w14:schemeClr w14:val="tx1"/>
            </w14:solidFill>
          </w14:textFill>
        </w:rPr>
        <w:t>审查</w:t>
      </w:r>
      <w:r>
        <w:rPr>
          <w:rFonts w:hint="eastAsia" w:ascii="宋体" w:hAnsi="宋体"/>
          <w:b/>
          <w:color w:val="000000" w:themeColor="text1"/>
          <w:sz w:val="24"/>
          <w14:textFill>
            <w14:solidFill>
              <w14:schemeClr w14:val="tx1"/>
            </w14:solidFill>
          </w14:textFill>
        </w:rPr>
        <w:t>（审查内容详见招标公告</w:t>
      </w:r>
      <w:r>
        <w:rPr>
          <w:rFonts w:ascii="宋体" w:hAnsi="宋体"/>
          <w:b/>
          <w:color w:val="000000" w:themeColor="text1"/>
          <w:sz w:val="24"/>
          <w14:textFill>
            <w14:solidFill>
              <w14:schemeClr w14:val="tx1"/>
            </w14:solidFill>
          </w14:textFill>
        </w:rPr>
        <w:t>中的</w:t>
      </w:r>
      <w:r>
        <w:rPr>
          <w:rFonts w:hint="eastAsia" w:ascii="宋体" w:hAnsi="宋体"/>
          <w:b/>
          <w:color w:val="000000" w:themeColor="text1"/>
          <w:sz w:val="24"/>
          <w14:textFill>
            <w14:solidFill>
              <w14:schemeClr w14:val="tx1"/>
            </w14:solidFill>
          </w14:textFill>
        </w:rPr>
        <w:t>相关</w:t>
      </w:r>
      <w:r>
        <w:rPr>
          <w:rFonts w:ascii="宋体" w:hAnsi="宋体"/>
          <w:b/>
          <w:color w:val="000000" w:themeColor="text1"/>
          <w:sz w:val="24"/>
          <w14:textFill>
            <w14:solidFill>
              <w14:schemeClr w14:val="tx1"/>
            </w14:solidFill>
          </w14:textFill>
        </w:rPr>
        <w:t>资质要求</w:t>
      </w:r>
      <w:r>
        <w:rPr>
          <w:rFonts w:hint="eastAsia" w:ascii="宋体" w:hAnsi="宋体"/>
          <w:b/>
          <w:color w:val="000000" w:themeColor="text1"/>
          <w:sz w:val="24"/>
          <w14:textFill>
            <w14:solidFill>
              <w14:schemeClr w14:val="tx1"/>
            </w14:solidFill>
          </w14:textFill>
        </w:rPr>
        <w:t>）</w:t>
      </w:r>
    </w:p>
    <w:p w14:paraId="5D67B09A">
      <w:pPr>
        <w:pStyle w:val="2"/>
        <w:tabs>
          <w:tab w:val="left" w:pos="1134"/>
        </w:tabs>
        <w:adjustRightInd w:val="0"/>
        <w:snapToGrid w:val="0"/>
        <w:ind w:firstLine="540" w:firstLineChars="225"/>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评标小组对通过资格性审查的投标人进行资格审查。</w:t>
      </w:r>
    </w:p>
    <w:p w14:paraId="49536AEA">
      <w:pPr>
        <w:pStyle w:val="2"/>
        <w:tabs>
          <w:tab w:val="left" w:pos="1134"/>
        </w:tabs>
        <w:adjustRightInd w:val="0"/>
        <w:snapToGrid w:val="0"/>
        <w:ind w:firstLine="540" w:firstLineChars="225"/>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（二）比较与评价</w:t>
      </w:r>
    </w:p>
    <w:p w14:paraId="31734067">
      <w:pPr>
        <w:pStyle w:val="2"/>
        <w:tabs>
          <w:tab w:val="left" w:pos="920"/>
          <w:tab w:val="left" w:pos="1080"/>
        </w:tabs>
        <w:adjustRightInd w:val="0"/>
        <w:snapToGrid w:val="0"/>
        <w:ind w:left="567" w:firstLine="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a.</w:t>
      </w:r>
      <w:r>
        <w:rPr>
          <w:rFonts w:hint="eastAsia" w:ascii="宋体" w:hAnsi="宋体"/>
          <w:color w:val="000000" w:themeColor="text1"/>
          <w:sz w:val="24"/>
          <w14:textFill>
            <w14:solidFill>
              <w14:schemeClr w14:val="tx1"/>
            </w14:solidFill>
          </w14:textFill>
        </w:rPr>
        <w:t>商务评价：</w:t>
      </w:r>
    </w:p>
    <w:p w14:paraId="00DF6BF9">
      <w:pPr>
        <w:pStyle w:val="2"/>
        <w:tabs>
          <w:tab w:val="left" w:pos="1080"/>
        </w:tabs>
        <w:adjustRightInd w:val="0"/>
        <w:snapToGrid w:val="0"/>
        <w:ind w:left="561" w:firstLine="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各评委对通过符合性审查的投标人对照采购需求各项商务要求进行评审和比较，并量化打分（评价打分内容详见商务评价表）；各个评委对某一投标人的算术平均值，并取小数点后的2位数，作为该投标人的商务评价得分。</w:t>
      </w:r>
    </w:p>
    <w:p w14:paraId="409D27A2">
      <w:pPr>
        <w:spacing w:line="360" w:lineRule="auto"/>
        <w:jc w:val="center"/>
        <w:rPr>
          <w:rFonts w:ascii="宋体" w:hAnsi="宋体"/>
          <w:b/>
          <w:bCs/>
          <w:color w:val="000000" w:themeColor="text1"/>
          <w:sz w:val="28"/>
          <w:szCs w:val="28"/>
          <w14:textFill>
            <w14:solidFill>
              <w14:schemeClr w14:val="tx1"/>
            </w14:solidFill>
          </w14:textFill>
        </w:rPr>
      </w:pPr>
      <w:r>
        <w:rPr>
          <w:rFonts w:hint="eastAsia" w:ascii="宋体" w:hAnsi="宋体"/>
          <w:b/>
          <w:bCs/>
          <w:color w:val="000000" w:themeColor="text1"/>
          <w:sz w:val="28"/>
          <w:szCs w:val="28"/>
          <w14:textFill>
            <w14:solidFill>
              <w14:schemeClr w14:val="tx1"/>
            </w14:solidFill>
          </w14:textFill>
        </w:rPr>
        <w:t>商务评价表</w:t>
      </w:r>
    </w:p>
    <w:tbl>
      <w:tblPr>
        <w:tblStyle w:val="6"/>
        <w:tblW w:w="97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2"/>
        <w:gridCol w:w="5605"/>
        <w:gridCol w:w="655"/>
        <w:gridCol w:w="812"/>
        <w:gridCol w:w="812"/>
        <w:gridCol w:w="773"/>
      </w:tblGrid>
      <w:tr w14:paraId="69774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112" w:type="dxa"/>
            <w:tcBorders>
              <w:top w:val="single" w:color="auto" w:sz="4" w:space="0"/>
              <w:left w:val="single" w:color="auto" w:sz="4" w:space="0"/>
              <w:bottom w:val="single" w:color="auto" w:sz="4" w:space="0"/>
              <w:right w:val="single" w:color="auto" w:sz="4" w:space="0"/>
            </w:tcBorders>
            <w:vAlign w:val="center"/>
          </w:tcPr>
          <w:p w14:paraId="3CEA2C93">
            <w:pPr>
              <w:spacing w:line="360" w:lineRule="auto"/>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评审内容</w:t>
            </w:r>
          </w:p>
        </w:tc>
        <w:tc>
          <w:tcPr>
            <w:tcW w:w="5605" w:type="dxa"/>
            <w:tcBorders>
              <w:top w:val="single" w:color="auto" w:sz="4" w:space="0"/>
              <w:left w:val="single" w:color="auto" w:sz="4" w:space="0"/>
              <w:bottom w:val="single" w:color="auto" w:sz="4" w:space="0"/>
              <w:right w:val="single" w:color="auto" w:sz="4" w:space="0"/>
            </w:tcBorders>
            <w:vAlign w:val="center"/>
          </w:tcPr>
          <w:p w14:paraId="1B3787EB">
            <w:pPr>
              <w:spacing w:line="360" w:lineRule="auto"/>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评分细则</w:t>
            </w:r>
          </w:p>
        </w:tc>
        <w:tc>
          <w:tcPr>
            <w:tcW w:w="655" w:type="dxa"/>
            <w:tcBorders>
              <w:top w:val="single" w:color="auto" w:sz="4" w:space="0"/>
              <w:left w:val="single" w:color="auto" w:sz="4" w:space="0"/>
              <w:bottom w:val="single" w:color="auto" w:sz="4" w:space="0"/>
              <w:right w:val="single" w:color="auto" w:sz="4" w:space="0"/>
            </w:tcBorders>
            <w:vAlign w:val="center"/>
          </w:tcPr>
          <w:p w14:paraId="3D1EAA58">
            <w:pPr>
              <w:spacing w:line="360" w:lineRule="auto"/>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分值</w:t>
            </w:r>
          </w:p>
        </w:tc>
        <w:tc>
          <w:tcPr>
            <w:tcW w:w="812" w:type="dxa"/>
            <w:tcBorders>
              <w:top w:val="single" w:color="auto" w:sz="4" w:space="0"/>
              <w:left w:val="single" w:color="auto" w:sz="4" w:space="0"/>
              <w:bottom w:val="single" w:color="auto" w:sz="4" w:space="0"/>
              <w:right w:val="single" w:color="auto" w:sz="4" w:space="0"/>
            </w:tcBorders>
            <w:vAlign w:val="center"/>
          </w:tcPr>
          <w:p w14:paraId="62C4E444">
            <w:pPr>
              <w:spacing w:line="360" w:lineRule="auto"/>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A公司</w:t>
            </w:r>
          </w:p>
        </w:tc>
        <w:tc>
          <w:tcPr>
            <w:tcW w:w="812" w:type="dxa"/>
            <w:tcBorders>
              <w:top w:val="single" w:color="auto" w:sz="4" w:space="0"/>
              <w:left w:val="single" w:color="auto" w:sz="4" w:space="0"/>
              <w:bottom w:val="single" w:color="auto" w:sz="4" w:space="0"/>
              <w:right w:val="single" w:color="auto" w:sz="4" w:space="0"/>
            </w:tcBorders>
            <w:vAlign w:val="center"/>
          </w:tcPr>
          <w:p w14:paraId="4A355FFD">
            <w:pPr>
              <w:spacing w:line="360" w:lineRule="auto"/>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B公司</w:t>
            </w:r>
          </w:p>
        </w:tc>
        <w:tc>
          <w:tcPr>
            <w:tcW w:w="773" w:type="dxa"/>
            <w:tcBorders>
              <w:top w:val="single" w:color="auto" w:sz="4" w:space="0"/>
              <w:left w:val="single" w:color="auto" w:sz="4" w:space="0"/>
              <w:bottom w:val="single" w:color="auto" w:sz="4" w:space="0"/>
              <w:right w:val="single" w:color="auto" w:sz="4" w:space="0"/>
            </w:tcBorders>
            <w:vAlign w:val="center"/>
          </w:tcPr>
          <w:p w14:paraId="463CF110">
            <w:pPr>
              <w:spacing w:line="360" w:lineRule="auto"/>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C公司</w:t>
            </w:r>
          </w:p>
        </w:tc>
      </w:tr>
      <w:tr w14:paraId="2E1DD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9" w:hRule="atLeast"/>
          <w:jc w:val="center"/>
        </w:trPr>
        <w:tc>
          <w:tcPr>
            <w:tcW w:w="1112" w:type="dxa"/>
            <w:tcBorders>
              <w:top w:val="single" w:color="auto" w:sz="4" w:space="0"/>
              <w:left w:val="single" w:color="auto" w:sz="4" w:space="0"/>
              <w:bottom w:val="single" w:color="auto" w:sz="4" w:space="0"/>
              <w:right w:val="single" w:color="auto" w:sz="4" w:space="0"/>
            </w:tcBorders>
            <w:vAlign w:val="center"/>
          </w:tcPr>
          <w:p w14:paraId="28094378">
            <w:pPr>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企业实力</w:t>
            </w:r>
          </w:p>
        </w:tc>
        <w:tc>
          <w:tcPr>
            <w:tcW w:w="5605" w:type="dxa"/>
            <w:tcBorders>
              <w:top w:val="single" w:color="auto" w:sz="4" w:space="0"/>
              <w:left w:val="single" w:color="auto" w:sz="4" w:space="0"/>
              <w:bottom w:val="single" w:color="auto" w:sz="4" w:space="0"/>
              <w:right w:val="single" w:color="auto" w:sz="4" w:space="0"/>
            </w:tcBorders>
            <w:vAlign w:val="center"/>
          </w:tcPr>
          <w:p w14:paraId="4B70F3FF">
            <w:pP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具有有效期内的安全人员、消防技术培训资质，具有人社或教育部门颁发的培训办学许可（对学校新生、消防值班室、</w:t>
            </w:r>
            <w:r>
              <w:rPr>
                <w:rFonts w:hint="eastAsia" w:ascii="宋体" w:hAnsi="宋体" w:cs="宋体"/>
                <w:color w:val="000000" w:themeColor="text1"/>
                <w:szCs w:val="21"/>
                <w:lang w:val="en-US" w:eastAsia="zh-CN"/>
                <w14:textFill>
                  <w14:solidFill>
                    <w14:schemeClr w14:val="tx1"/>
                  </w14:solidFill>
                </w14:textFill>
              </w:rPr>
              <w:t>消防</w:t>
            </w:r>
            <w:r>
              <w:rPr>
                <w:rFonts w:hint="eastAsia" w:ascii="宋体" w:hAnsi="宋体" w:cs="宋体"/>
                <w:color w:val="000000" w:themeColor="text1"/>
                <w:szCs w:val="21"/>
                <w14:textFill>
                  <w14:solidFill>
                    <w14:schemeClr w14:val="tx1"/>
                  </w14:solidFill>
                </w14:textFill>
              </w:rPr>
              <w:t>安全管理人员培训）。最高</w:t>
            </w:r>
            <w:r>
              <w:rPr>
                <w:rFonts w:hint="eastAsia" w:ascii="宋体" w:hAnsi="宋体" w:cs="宋体"/>
                <w:color w:val="000000" w:themeColor="text1"/>
                <w:szCs w:val="21"/>
                <w:lang w:val="en-US" w:eastAsia="zh-CN"/>
                <w14:textFill>
                  <w14:solidFill>
                    <w14:schemeClr w14:val="tx1"/>
                  </w14:solidFill>
                </w14:textFill>
              </w:rPr>
              <w:t>12</w:t>
            </w:r>
            <w:r>
              <w:rPr>
                <w:rFonts w:hint="eastAsia" w:ascii="宋体" w:hAnsi="宋体" w:cs="宋体"/>
                <w:color w:val="000000" w:themeColor="text1"/>
                <w:szCs w:val="21"/>
                <w14:textFill>
                  <w14:solidFill>
                    <w14:schemeClr w14:val="tx1"/>
                  </w14:solidFill>
                </w14:textFill>
              </w:rPr>
              <w:t>分。</w:t>
            </w:r>
          </w:p>
          <w:p w14:paraId="1D644BA9">
            <w:pPr>
              <w:rPr>
                <w:rFonts w:ascii="宋体" w:hAnsi="宋体" w:cs="宋体"/>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（需提供相关证明材料复印件，否则不得分）</w:t>
            </w:r>
          </w:p>
        </w:tc>
        <w:tc>
          <w:tcPr>
            <w:tcW w:w="655" w:type="dxa"/>
            <w:tcBorders>
              <w:top w:val="single" w:color="auto" w:sz="4" w:space="0"/>
              <w:left w:val="single" w:color="auto" w:sz="4" w:space="0"/>
              <w:bottom w:val="single" w:color="auto" w:sz="4" w:space="0"/>
              <w:right w:val="single" w:color="auto" w:sz="4" w:space="0"/>
            </w:tcBorders>
            <w:vAlign w:val="center"/>
          </w:tcPr>
          <w:p w14:paraId="46A00FFE">
            <w:pPr>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12</w:t>
            </w:r>
          </w:p>
        </w:tc>
        <w:tc>
          <w:tcPr>
            <w:tcW w:w="812" w:type="dxa"/>
            <w:tcBorders>
              <w:top w:val="single" w:color="auto" w:sz="4" w:space="0"/>
              <w:left w:val="single" w:color="auto" w:sz="4" w:space="0"/>
              <w:bottom w:val="single" w:color="auto" w:sz="4" w:space="0"/>
              <w:right w:val="single" w:color="auto" w:sz="4" w:space="0"/>
            </w:tcBorders>
            <w:vAlign w:val="center"/>
          </w:tcPr>
          <w:p w14:paraId="6ACCD4BC">
            <w:pPr>
              <w:spacing w:line="360" w:lineRule="auto"/>
              <w:jc w:val="center"/>
              <w:rPr>
                <w:rFonts w:ascii="宋体" w:hAnsi="宋体" w:cs="宋体"/>
                <w:b/>
                <w:color w:val="000000" w:themeColor="text1"/>
                <w:szCs w:val="21"/>
                <w14:textFill>
                  <w14:solidFill>
                    <w14:schemeClr w14:val="tx1"/>
                  </w14:solidFill>
                </w14:textFill>
              </w:rPr>
            </w:pPr>
          </w:p>
        </w:tc>
        <w:tc>
          <w:tcPr>
            <w:tcW w:w="812" w:type="dxa"/>
            <w:tcBorders>
              <w:top w:val="single" w:color="auto" w:sz="4" w:space="0"/>
              <w:left w:val="single" w:color="auto" w:sz="4" w:space="0"/>
              <w:bottom w:val="single" w:color="auto" w:sz="4" w:space="0"/>
              <w:right w:val="single" w:color="auto" w:sz="4" w:space="0"/>
            </w:tcBorders>
            <w:vAlign w:val="center"/>
          </w:tcPr>
          <w:p w14:paraId="469E2629">
            <w:pPr>
              <w:spacing w:line="360" w:lineRule="auto"/>
              <w:jc w:val="center"/>
              <w:rPr>
                <w:rFonts w:ascii="宋体" w:hAnsi="宋体" w:cs="宋体"/>
                <w:b/>
                <w:color w:val="000000" w:themeColor="text1"/>
                <w:szCs w:val="21"/>
                <w14:textFill>
                  <w14:solidFill>
                    <w14:schemeClr w14:val="tx1"/>
                  </w14:solidFill>
                </w14:textFill>
              </w:rPr>
            </w:pPr>
          </w:p>
        </w:tc>
        <w:tc>
          <w:tcPr>
            <w:tcW w:w="773" w:type="dxa"/>
            <w:tcBorders>
              <w:top w:val="single" w:color="auto" w:sz="4" w:space="0"/>
              <w:left w:val="single" w:color="auto" w:sz="4" w:space="0"/>
              <w:bottom w:val="single" w:color="auto" w:sz="4" w:space="0"/>
              <w:right w:val="single" w:color="auto" w:sz="4" w:space="0"/>
            </w:tcBorders>
            <w:vAlign w:val="center"/>
          </w:tcPr>
          <w:p w14:paraId="2C305C96">
            <w:pPr>
              <w:spacing w:line="360" w:lineRule="auto"/>
              <w:jc w:val="center"/>
              <w:rPr>
                <w:rFonts w:ascii="宋体" w:hAnsi="宋体" w:cs="宋体"/>
                <w:b/>
                <w:color w:val="000000" w:themeColor="text1"/>
                <w:szCs w:val="21"/>
                <w14:textFill>
                  <w14:solidFill>
                    <w14:schemeClr w14:val="tx1"/>
                  </w14:solidFill>
                </w14:textFill>
              </w:rPr>
            </w:pPr>
          </w:p>
        </w:tc>
      </w:tr>
      <w:tr w14:paraId="20B67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1" w:hRule="atLeast"/>
          <w:jc w:val="center"/>
        </w:trPr>
        <w:tc>
          <w:tcPr>
            <w:tcW w:w="1112" w:type="dxa"/>
            <w:tcBorders>
              <w:top w:val="single" w:color="auto" w:sz="4" w:space="0"/>
              <w:left w:val="single" w:color="auto" w:sz="4" w:space="0"/>
              <w:bottom w:val="single" w:color="auto" w:sz="4" w:space="0"/>
              <w:right w:val="single" w:color="auto" w:sz="4" w:space="0"/>
            </w:tcBorders>
            <w:vAlign w:val="center"/>
          </w:tcPr>
          <w:p w14:paraId="7830F0FD">
            <w:pPr>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人力资源</w:t>
            </w:r>
          </w:p>
        </w:tc>
        <w:tc>
          <w:tcPr>
            <w:tcW w:w="5605" w:type="dxa"/>
            <w:tcBorders>
              <w:top w:val="single" w:color="auto" w:sz="4" w:space="0"/>
              <w:left w:val="single" w:color="auto" w:sz="4" w:space="0"/>
              <w:bottom w:val="single" w:color="auto" w:sz="4" w:space="0"/>
              <w:right w:val="single" w:color="auto" w:sz="4" w:space="0"/>
            </w:tcBorders>
            <w:vAlign w:val="center"/>
          </w:tcPr>
          <w:p w14:paraId="2B56B191">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1、拟派出的项目负责人由</w:t>
            </w:r>
            <w:r>
              <w:rPr>
                <w:rFonts w:hint="eastAsia"/>
                <w:color w:val="000000" w:themeColor="text1"/>
                <w:lang w:val="en-US" w:eastAsia="zh-CN"/>
                <w14:textFill>
                  <w14:solidFill>
                    <w14:schemeClr w14:val="tx1"/>
                  </w14:solidFill>
                </w14:textFill>
              </w:rPr>
              <w:t>人</w:t>
            </w:r>
            <w:r>
              <w:rPr>
                <w:rFonts w:hint="eastAsia"/>
                <w:color w:val="000000" w:themeColor="text1"/>
                <w14:textFill>
                  <w14:solidFill>
                    <w14:schemeClr w14:val="tx1"/>
                  </w14:solidFill>
                </w14:textFill>
              </w:rPr>
              <w:t>社保部门出具的（一级注册消防工程师）。</w:t>
            </w:r>
            <w:r>
              <w:rPr>
                <w:rFonts w:hint="eastAsia" w:ascii="宋体" w:hAnsi="宋体" w:cs="宋体"/>
                <w:color w:val="000000" w:themeColor="text1"/>
                <w:szCs w:val="21"/>
                <w14:textFill>
                  <w14:solidFill>
                    <w14:schemeClr w14:val="tx1"/>
                  </w14:solidFill>
                </w14:textFill>
              </w:rPr>
              <w:t>每</w:t>
            </w:r>
            <w:r>
              <w:rPr>
                <w:rFonts w:hint="eastAsia" w:ascii="宋体" w:hAnsi="宋体" w:cs="宋体"/>
                <w:color w:val="000000" w:themeColor="text1"/>
                <w:szCs w:val="21"/>
                <w:lang w:val="en-US" w:eastAsia="zh-CN"/>
                <w14:textFill>
                  <w14:solidFill>
                    <w14:schemeClr w14:val="tx1"/>
                  </w14:solidFill>
                </w14:textFill>
              </w:rPr>
              <w:t>人2</w:t>
            </w:r>
            <w:r>
              <w:rPr>
                <w:rFonts w:hint="eastAsia" w:ascii="宋体" w:hAnsi="宋体" w:cs="宋体"/>
                <w:color w:val="000000" w:themeColor="text1"/>
                <w:szCs w:val="21"/>
                <w14:textFill>
                  <w14:solidFill>
                    <w14:schemeClr w14:val="tx1"/>
                  </w14:solidFill>
                </w14:textFill>
              </w:rPr>
              <w:t>分</w:t>
            </w:r>
            <w:r>
              <w:rPr>
                <w:rFonts w:hint="eastAsia" w:ascii="宋体" w:hAnsi="宋体" w:cs="宋体"/>
                <w:color w:val="000000" w:themeColor="text1"/>
                <w:szCs w:val="21"/>
                <w:lang w:eastAsia="zh-CN"/>
                <w14:textFill>
                  <w14:solidFill>
                    <w14:schemeClr w14:val="tx1"/>
                  </w14:solidFill>
                </w14:textFill>
              </w:rPr>
              <w:t>。</w:t>
            </w:r>
            <w:r>
              <w:rPr>
                <w:rFonts w:hint="eastAsia" w:ascii="宋体" w:hAnsi="宋体" w:cs="宋体"/>
                <w:color w:val="000000" w:themeColor="text1"/>
                <w:szCs w:val="21"/>
                <w14:textFill>
                  <w14:solidFill>
                    <w14:schemeClr w14:val="tx1"/>
                  </w14:solidFill>
                </w14:textFill>
              </w:rPr>
              <w:t>最高</w:t>
            </w:r>
            <w:r>
              <w:rPr>
                <w:rFonts w:hint="eastAsia" w:ascii="宋体" w:hAnsi="宋体" w:cs="宋体"/>
                <w:color w:val="000000" w:themeColor="text1"/>
                <w:szCs w:val="21"/>
                <w:lang w:val="en-US" w:eastAsia="zh-CN"/>
                <w14:textFill>
                  <w14:solidFill>
                    <w14:schemeClr w14:val="tx1"/>
                  </w14:solidFill>
                </w14:textFill>
              </w:rPr>
              <w:t>2</w:t>
            </w:r>
            <w:r>
              <w:rPr>
                <w:rFonts w:hint="eastAsia" w:ascii="宋体" w:hAnsi="宋体" w:cs="宋体"/>
                <w:color w:val="000000" w:themeColor="text1"/>
                <w:szCs w:val="21"/>
                <w14:textFill>
                  <w14:solidFill>
                    <w14:schemeClr w14:val="tx1"/>
                  </w14:solidFill>
                </w14:textFill>
              </w:rPr>
              <w:t>分</w:t>
            </w:r>
          </w:p>
          <w:p w14:paraId="67624E4D">
            <w:pPr>
              <w:rPr>
                <w:rFonts w:hint="eastAsia" w:ascii="宋体" w:hAnsi="宋体" w:cs="宋体"/>
                <w:color w:val="000000" w:themeColor="text1"/>
                <w:szCs w:val="21"/>
                <w14:textFill>
                  <w14:solidFill>
                    <w14:schemeClr w14:val="tx1"/>
                  </w14:solidFill>
                </w14:textFill>
              </w:rPr>
            </w:pPr>
            <w:r>
              <w:rPr>
                <w:rFonts w:hint="eastAsia"/>
                <w:color w:val="000000" w:themeColor="text1"/>
                <w14:textFill>
                  <w14:solidFill>
                    <w14:schemeClr w14:val="tx1"/>
                  </w14:solidFill>
                </w14:textFill>
              </w:rPr>
              <w:t>2、拟派消防技术服务人员（中级建（构）物消防员</w:t>
            </w:r>
            <w:r>
              <w:rPr>
                <w:rFonts w:hint="eastAsia" w:ascii="宋体" w:hAnsi="宋体" w:cs="宋体"/>
                <w:color w:val="000000" w:themeColor="text1"/>
                <w:szCs w:val="21"/>
                <w14:textFill>
                  <w14:solidFill>
                    <w14:schemeClr w14:val="tx1"/>
                  </w14:solidFill>
                </w14:textFill>
              </w:rPr>
              <w:t>或</w:t>
            </w:r>
            <w:r>
              <w:rPr>
                <w:rFonts w:hint="eastAsia"/>
                <w:color w:val="000000" w:themeColor="text1"/>
                <w14:textFill>
                  <w14:solidFill>
                    <w14:schemeClr w14:val="tx1"/>
                  </w14:solidFill>
                </w14:textFill>
              </w:rPr>
              <w:t>消防设施操作员及维修电工）。</w:t>
            </w:r>
            <w:r>
              <w:rPr>
                <w:rFonts w:hint="eastAsia" w:ascii="宋体" w:hAnsi="宋体" w:cs="宋体"/>
                <w:color w:val="000000" w:themeColor="text1"/>
                <w:szCs w:val="21"/>
                <w14:textFill>
                  <w14:solidFill>
                    <w14:schemeClr w14:val="tx1"/>
                  </w14:solidFill>
                </w14:textFill>
              </w:rPr>
              <w:t>每</w:t>
            </w:r>
            <w:r>
              <w:rPr>
                <w:rFonts w:hint="eastAsia" w:ascii="宋体" w:hAnsi="宋体" w:cs="宋体"/>
                <w:color w:val="000000" w:themeColor="text1"/>
                <w:szCs w:val="21"/>
                <w:lang w:val="en-US" w:eastAsia="zh-CN"/>
                <w14:textFill>
                  <w14:solidFill>
                    <w14:schemeClr w14:val="tx1"/>
                  </w14:solidFill>
                </w14:textFill>
              </w:rPr>
              <w:t>人2</w:t>
            </w:r>
            <w:r>
              <w:rPr>
                <w:rFonts w:hint="eastAsia" w:ascii="宋体" w:hAnsi="宋体" w:cs="宋体"/>
                <w:color w:val="000000" w:themeColor="text1"/>
                <w:szCs w:val="21"/>
                <w14:textFill>
                  <w14:solidFill>
                    <w14:schemeClr w14:val="tx1"/>
                  </w14:solidFill>
                </w14:textFill>
              </w:rPr>
              <w:t>分</w:t>
            </w:r>
            <w:r>
              <w:rPr>
                <w:rFonts w:hint="eastAsia" w:ascii="宋体" w:hAnsi="宋体" w:cs="宋体"/>
                <w:color w:val="000000" w:themeColor="text1"/>
                <w:szCs w:val="21"/>
                <w:lang w:eastAsia="zh-CN"/>
                <w14:textFill>
                  <w14:solidFill>
                    <w14:schemeClr w14:val="tx1"/>
                  </w14:solidFill>
                </w14:textFill>
              </w:rPr>
              <w:t>。</w:t>
            </w:r>
            <w:r>
              <w:rPr>
                <w:rFonts w:hint="eastAsia" w:ascii="宋体" w:hAnsi="宋体" w:cs="宋体"/>
                <w:color w:val="000000" w:themeColor="text1"/>
                <w:szCs w:val="21"/>
                <w14:textFill>
                  <w14:solidFill>
                    <w14:schemeClr w14:val="tx1"/>
                  </w14:solidFill>
                </w14:textFill>
              </w:rPr>
              <w:t>最高</w:t>
            </w:r>
            <w:r>
              <w:rPr>
                <w:rFonts w:hint="eastAsia" w:ascii="宋体" w:hAnsi="宋体" w:cs="宋体"/>
                <w:color w:val="000000" w:themeColor="text1"/>
                <w:szCs w:val="21"/>
                <w:lang w:val="en-US" w:eastAsia="zh-CN"/>
                <w14:textFill>
                  <w14:solidFill>
                    <w14:schemeClr w14:val="tx1"/>
                  </w14:solidFill>
                </w14:textFill>
              </w:rPr>
              <w:t>4</w:t>
            </w:r>
            <w:r>
              <w:rPr>
                <w:rFonts w:hint="eastAsia" w:ascii="宋体" w:hAnsi="宋体" w:cs="宋体"/>
                <w:color w:val="000000" w:themeColor="text1"/>
                <w:szCs w:val="21"/>
                <w14:textFill>
                  <w14:solidFill>
                    <w14:schemeClr w14:val="tx1"/>
                  </w14:solidFill>
                </w14:textFill>
              </w:rPr>
              <w:t>分。</w:t>
            </w:r>
          </w:p>
          <w:p w14:paraId="305A5C24">
            <w:pPr>
              <w:rPr>
                <w:rFonts w:hint="eastAsia" w:ascii="宋体" w:hAnsi="宋体" w:eastAsia="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3</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培训人员的资质（消防安全公益讲师团二级及以上讲师）</w:t>
            </w:r>
            <w:r>
              <w:rPr>
                <w:rFonts w:hint="eastAsia" w:ascii="宋体" w:hAnsi="宋体" w:cs="宋体"/>
                <w:color w:val="000000" w:themeColor="text1"/>
                <w:szCs w:val="21"/>
                <w14:textFill>
                  <w14:solidFill>
                    <w14:schemeClr w14:val="tx1"/>
                  </w14:solidFill>
                </w14:textFill>
              </w:rPr>
              <w:t>每</w:t>
            </w:r>
            <w:r>
              <w:rPr>
                <w:rFonts w:hint="eastAsia" w:ascii="宋体" w:hAnsi="宋体" w:cs="宋体"/>
                <w:color w:val="000000" w:themeColor="text1"/>
                <w:szCs w:val="21"/>
                <w:lang w:val="en-US" w:eastAsia="zh-CN"/>
                <w14:textFill>
                  <w14:solidFill>
                    <w14:schemeClr w14:val="tx1"/>
                  </w14:solidFill>
                </w14:textFill>
              </w:rPr>
              <w:t>人2</w:t>
            </w:r>
            <w:r>
              <w:rPr>
                <w:rFonts w:hint="eastAsia" w:ascii="宋体" w:hAnsi="宋体" w:cs="宋体"/>
                <w:color w:val="000000" w:themeColor="text1"/>
                <w:szCs w:val="21"/>
                <w14:textFill>
                  <w14:solidFill>
                    <w14:schemeClr w14:val="tx1"/>
                  </w14:solidFill>
                </w14:textFill>
              </w:rPr>
              <w:t>分</w:t>
            </w:r>
            <w:r>
              <w:rPr>
                <w:rFonts w:hint="eastAsia" w:ascii="宋体" w:hAnsi="宋体" w:cs="宋体"/>
                <w:color w:val="000000" w:themeColor="text1"/>
                <w:szCs w:val="21"/>
                <w:lang w:eastAsia="zh-CN"/>
                <w14:textFill>
                  <w14:solidFill>
                    <w14:schemeClr w14:val="tx1"/>
                  </w14:solidFill>
                </w14:textFill>
              </w:rPr>
              <w:t>。</w:t>
            </w:r>
            <w:r>
              <w:rPr>
                <w:rFonts w:hint="eastAsia" w:ascii="宋体" w:hAnsi="宋体" w:cs="宋体"/>
                <w:color w:val="000000" w:themeColor="text1"/>
                <w:szCs w:val="21"/>
                <w14:textFill>
                  <w14:solidFill>
                    <w14:schemeClr w14:val="tx1"/>
                  </w14:solidFill>
                </w14:textFill>
              </w:rPr>
              <w:t>最高</w:t>
            </w:r>
            <w:r>
              <w:rPr>
                <w:rFonts w:hint="eastAsia" w:ascii="宋体" w:hAnsi="宋体" w:cs="宋体"/>
                <w:color w:val="000000" w:themeColor="text1"/>
                <w:szCs w:val="21"/>
                <w:lang w:val="en-US" w:eastAsia="zh-CN"/>
                <w14:textFill>
                  <w14:solidFill>
                    <w14:schemeClr w14:val="tx1"/>
                  </w14:solidFill>
                </w14:textFill>
              </w:rPr>
              <w:t>6</w:t>
            </w:r>
            <w:r>
              <w:rPr>
                <w:rFonts w:hint="eastAsia" w:ascii="宋体" w:hAnsi="宋体" w:cs="宋体"/>
                <w:color w:val="000000" w:themeColor="text1"/>
                <w:szCs w:val="21"/>
                <w14:textFill>
                  <w14:solidFill>
                    <w14:schemeClr w14:val="tx1"/>
                  </w14:solidFill>
                </w14:textFill>
              </w:rPr>
              <w:t>分。</w:t>
            </w:r>
          </w:p>
          <w:p w14:paraId="2ABF4067">
            <w:pPr>
              <w:rPr>
                <w:rFonts w:ascii="宋体" w:hAnsi="宋体" w:cs="宋体"/>
                <w:b/>
                <w:bCs/>
                <w:color w:val="000000" w:themeColor="text1"/>
                <w:szCs w:val="21"/>
                <w14:textFill>
                  <w14:solidFill>
                    <w14:schemeClr w14:val="tx1"/>
                  </w14:solidFill>
                </w14:textFill>
              </w:rPr>
            </w:pPr>
            <w:r>
              <w:rPr>
                <w:rFonts w:hint="eastAsia"/>
                <w:color w:val="000000" w:themeColor="text1"/>
                <w14:textFill>
                  <w14:solidFill>
                    <w14:schemeClr w14:val="tx1"/>
                  </w14:solidFill>
                </w14:textFill>
              </w:rPr>
              <w:t>（所提供的投入人员必须为投标单位人员，提供人员相应证书复印件或网页查询截图（显示查询网址）以及投标截止日前3个月任意一个月的社保证明材料或劳动合同复印件。不满足上述要求或未提供相关证明材料的不得分。）</w:t>
            </w:r>
          </w:p>
        </w:tc>
        <w:tc>
          <w:tcPr>
            <w:tcW w:w="655" w:type="dxa"/>
            <w:tcBorders>
              <w:top w:val="single" w:color="auto" w:sz="4" w:space="0"/>
              <w:left w:val="single" w:color="auto" w:sz="4" w:space="0"/>
              <w:bottom w:val="single" w:color="auto" w:sz="4" w:space="0"/>
              <w:right w:val="single" w:color="auto" w:sz="4" w:space="0"/>
            </w:tcBorders>
            <w:vAlign w:val="center"/>
          </w:tcPr>
          <w:p w14:paraId="5F154F50">
            <w:pPr>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12</w:t>
            </w:r>
          </w:p>
        </w:tc>
        <w:tc>
          <w:tcPr>
            <w:tcW w:w="812" w:type="dxa"/>
            <w:tcBorders>
              <w:top w:val="single" w:color="auto" w:sz="4" w:space="0"/>
              <w:left w:val="single" w:color="auto" w:sz="4" w:space="0"/>
              <w:bottom w:val="single" w:color="auto" w:sz="4" w:space="0"/>
              <w:right w:val="single" w:color="auto" w:sz="4" w:space="0"/>
            </w:tcBorders>
            <w:vAlign w:val="center"/>
          </w:tcPr>
          <w:p w14:paraId="30800ACA">
            <w:pPr>
              <w:spacing w:line="360" w:lineRule="auto"/>
              <w:jc w:val="center"/>
              <w:rPr>
                <w:rFonts w:ascii="宋体" w:hAnsi="宋体" w:cs="宋体"/>
                <w:b/>
                <w:color w:val="000000" w:themeColor="text1"/>
                <w:szCs w:val="21"/>
                <w14:textFill>
                  <w14:solidFill>
                    <w14:schemeClr w14:val="tx1"/>
                  </w14:solidFill>
                </w14:textFill>
              </w:rPr>
            </w:pPr>
          </w:p>
        </w:tc>
        <w:tc>
          <w:tcPr>
            <w:tcW w:w="812" w:type="dxa"/>
            <w:tcBorders>
              <w:top w:val="single" w:color="auto" w:sz="4" w:space="0"/>
              <w:left w:val="single" w:color="auto" w:sz="4" w:space="0"/>
              <w:bottom w:val="single" w:color="auto" w:sz="4" w:space="0"/>
              <w:right w:val="single" w:color="auto" w:sz="4" w:space="0"/>
            </w:tcBorders>
            <w:vAlign w:val="center"/>
          </w:tcPr>
          <w:p w14:paraId="20DCF5D9">
            <w:pPr>
              <w:spacing w:line="360" w:lineRule="auto"/>
              <w:jc w:val="center"/>
              <w:rPr>
                <w:rFonts w:ascii="宋体" w:hAnsi="宋体" w:cs="宋体"/>
                <w:b/>
                <w:color w:val="000000" w:themeColor="text1"/>
                <w:szCs w:val="21"/>
                <w14:textFill>
                  <w14:solidFill>
                    <w14:schemeClr w14:val="tx1"/>
                  </w14:solidFill>
                </w14:textFill>
              </w:rPr>
            </w:pPr>
          </w:p>
        </w:tc>
        <w:tc>
          <w:tcPr>
            <w:tcW w:w="773" w:type="dxa"/>
            <w:tcBorders>
              <w:top w:val="single" w:color="auto" w:sz="4" w:space="0"/>
              <w:left w:val="single" w:color="auto" w:sz="4" w:space="0"/>
              <w:bottom w:val="single" w:color="auto" w:sz="4" w:space="0"/>
              <w:right w:val="single" w:color="auto" w:sz="4" w:space="0"/>
            </w:tcBorders>
            <w:vAlign w:val="center"/>
          </w:tcPr>
          <w:p w14:paraId="48B14EC7">
            <w:pPr>
              <w:spacing w:line="360" w:lineRule="auto"/>
              <w:jc w:val="center"/>
              <w:rPr>
                <w:rFonts w:ascii="宋体" w:hAnsi="宋体" w:cs="宋体"/>
                <w:b/>
                <w:color w:val="000000" w:themeColor="text1"/>
                <w:szCs w:val="21"/>
                <w14:textFill>
                  <w14:solidFill>
                    <w14:schemeClr w14:val="tx1"/>
                  </w14:solidFill>
                </w14:textFill>
              </w:rPr>
            </w:pPr>
          </w:p>
        </w:tc>
      </w:tr>
      <w:tr w14:paraId="5173A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112" w:type="dxa"/>
            <w:tcBorders>
              <w:top w:val="single" w:color="auto" w:sz="4" w:space="0"/>
              <w:left w:val="single" w:color="auto" w:sz="4" w:space="0"/>
              <w:bottom w:val="single" w:color="auto" w:sz="4" w:space="0"/>
              <w:right w:val="single" w:color="auto" w:sz="4" w:space="0"/>
            </w:tcBorders>
            <w:vAlign w:val="center"/>
          </w:tcPr>
          <w:p w14:paraId="3896C36A">
            <w:pPr>
              <w:spacing w:line="360" w:lineRule="auto"/>
              <w:jc w:val="center"/>
              <w:rPr>
                <w:rFonts w:ascii="宋体" w:hAnsi="宋体" w:cs="宋体"/>
                <w:szCs w:val="21"/>
              </w:rPr>
            </w:pPr>
            <w:r>
              <w:rPr>
                <w:rFonts w:hint="eastAsia" w:ascii="宋体" w:hAnsi="宋体" w:cs="宋体"/>
                <w:szCs w:val="21"/>
              </w:rPr>
              <w:t>项目业绩</w:t>
            </w:r>
          </w:p>
        </w:tc>
        <w:tc>
          <w:tcPr>
            <w:tcW w:w="5605" w:type="dxa"/>
            <w:tcBorders>
              <w:top w:val="single" w:color="auto" w:sz="4" w:space="0"/>
              <w:left w:val="single" w:color="auto" w:sz="4" w:space="0"/>
              <w:bottom w:val="single" w:color="auto" w:sz="4" w:space="0"/>
              <w:right w:val="single" w:color="auto" w:sz="4" w:space="0"/>
            </w:tcBorders>
            <w:vAlign w:val="center"/>
          </w:tcPr>
          <w:p w14:paraId="6B8B928C">
            <w:pPr>
              <w:rPr>
                <w:rFonts w:ascii="宋体" w:hAnsi="宋体" w:cs="宋体"/>
                <w:szCs w:val="21"/>
              </w:rPr>
            </w:pPr>
            <w:r>
              <w:rPr>
                <w:rFonts w:hint="eastAsia" w:ascii="宋体" w:hAnsi="宋体" w:cs="宋体"/>
                <w:szCs w:val="21"/>
                <w:lang w:bidi="ar"/>
              </w:rPr>
              <w:t>2020年至今完成的同类</w:t>
            </w:r>
            <w:r>
              <w:rPr>
                <w:rFonts w:hint="eastAsia" w:ascii="宋体" w:hAnsi="宋体" w:cs="宋体"/>
                <w:szCs w:val="21"/>
              </w:rPr>
              <w:t>或火灾危险系数更大的消防系统维护保养（政府部门、文保单位、高校）项目业绩合同的合同复印件，每个1分，最高4分。</w:t>
            </w:r>
          </w:p>
          <w:p w14:paraId="79BEF103">
            <w:pPr>
              <w:rPr>
                <w:rFonts w:ascii="宋体" w:hAnsi="宋体" w:cs="宋体"/>
                <w:szCs w:val="21"/>
              </w:rPr>
            </w:pPr>
            <w:r>
              <w:rPr>
                <w:rFonts w:hint="eastAsia" w:ascii="宋体" w:hAnsi="宋体" w:cs="宋体"/>
                <w:szCs w:val="21"/>
              </w:rPr>
              <w:t>（提供业绩合同关键页复印件，未提供的不得分。时间以合同签订时间为准；合同复印件不清晰，关键信息无法识别的不得分；提供中标通知书复印件不能替代合同）</w:t>
            </w:r>
          </w:p>
        </w:tc>
        <w:tc>
          <w:tcPr>
            <w:tcW w:w="655" w:type="dxa"/>
            <w:tcBorders>
              <w:top w:val="single" w:color="auto" w:sz="4" w:space="0"/>
              <w:left w:val="single" w:color="auto" w:sz="4" w:space="0"/>
              <w:bottom w:val="single" w:color="auto" w:sz="4" w:space="0"/>
              <w:right w:val="single" w:color="auto" w:sz="4" w:space="0"/>
            </w:tcBorders>
            <w:vAlign w:val="center"/>
          </w:tcPr>
          <w:p w14:paraId="26235620">
            <w:pPr>
              <w:spacing w:line="360" w:lineRule="auto"/>
              <w:jc w:val="center"/>
              <w:rPr>
                <w:rFonts w:ascii="宋体" w:hAnsi="宋体" w:cs="宋体"/>
                <w:szCs w:val="21"/>
              </w:rPr>
            </w:pPr>
            <w:r>
              <w:rPr>
                <w:rFonts w:hint="eastAsia" w:ascii="宋体" w:hAnsi="宋体" w:cs="宋体"/>
                <w:szCs w:val="21"/>
              </w:rPr>
              <w:t>4</w:t>
            </w:r>
          </w:p>
        </w:tc>
        <w:tc>
          <w:tcPr>
            <w:tcW w:w="812" w:type="dxa"/>
            <w:tcBorders>
              <w:top w:val="single" w:color="auto" w:sz="4" w:space="0"/>
              <w:left w:val="single" w:color="auto" w:sz="4" w:space="0"/>
              <w:bottom w:val="single" w:color="auto" w:sz="4" w:space="0"/>
              <w:right w:val="single" w:color="auto" w:sz="4" w:space="0"/>
            </w:tcBorders>
            <w:vAlign w:val="center"/>
          </w:tcPr>
          <w:p w14:paraId="15BE71C2">
            <w:pPr>
              <w:spacing w:line="360" w:lineRule="auto"/>
              <w:jc w:val="center"/>
              <w:rPr>
                <w:rFonts w:ascii="宋体" w:hAnsi="宋体" w:cs="宋体"/>
                <w:b/>
                <w:szCs w:val="21"/>
              </w:rPr>
            </w:pPr>
          </w:p>
        </w:tc>
        <w:tc>
          <w:tcPr>
            <w:tcW w:w="812" w:type="dxa"/>
            <w:tcBorders>
              <w:top w:val="single" w:color="auto" w:sz="4" w:space="0"/>
              <w:left w:val="single" w:color="auto" w:sz="4" w:space="0"/>
              <w:bottom w:val="single" w:color="auto" w:sz="4" w:space="0"/>
              <w:right w:val="single" w:color="auto" w:sz="4" w:space="0"/>
            </w:tcBorders>
            <w:vAlign w:val="center"/>
          </w:tcPr>
          <w:p w14:paraId="486F87F6">
            <w:pPr>
              <w:spacing w:line="360" w:lineRule="auto"/>
              <w:jc w:val="center"/>
              <w:rPr>
                <w:rFonts w:ascii="宋体" w:hAnsi="宋体" w:cs="宋体"/>
                <w:b/>
                <w:color w:val="000000" w:themeColor="text1"/>
                <w:szCs w:val="21"/>
                <w14:textFill>
                  <w14:solidFill>
                    <w14:schemeClr w14:val="tx1"/>
                  </w14:solidFill>
                </w14:textFill>
              </w:rPr>
            </w:pPr>
          </w:p>
        </w:tc>
        <w:tc>
          <w:tcPr>
            <w:tcW w:w="773" w:type="dxa"/>
            <w:tcBorders>
              <w:top w:val="single" w:color="auto" w:sz="4" w:space="0"/>
              <w:left w:val="single" w:color="auto" w:sz="4" w:space="0"/>
              <w:bottom w:val="single" w:color="auto" w:sz="4" w:space="0"/>
              <w:right w:val="single" w:color="auto" w:sz="4" w:space="0"/>
            </w:tcBorders>
            <w:vAlign w:val="center"/>
          </w:tcPr>
          <w:p w14:paraId="250C87F0">
            <w:pPr>
              <w:spacing w:line="360" w:lineRule="auto"/>
              <w:jc w:val="center"/>
              <w:rPr>
                <w:rFonts w:ascii="宋体" w:hAnsi="宋体" w:cs="宋体"/>
                <w:b/>
                <w:color w:val="000000" w:themeColor="text1"/>
                <w:szCs w:val="21"/>
                <w14:textFill>
                  <w14:solidFill>
                    <w14:schemeClr w14:val="tx1"/>
                  </w14:solidFill>
                </w14:textFill>
              </w:rPr>
            </w:pPr>
          </w:p>
        </w:tc>
      </w:tr>
      <w:tr w14:paraId="069BA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 w:hRule="atLeast"/>
          <w:jc w:val="center"/>
        </w:trPr>
        <w:tc>
          <w:tcPr>
            <w:tcW w:w="1112" w:type="dxa"/>
            <w:tcBorders>
              <w:top w:val="single" w:color="auto" w:sz="4" w:space="0"/>
              <w:left w:val="single" w:color="auto" w:sz="4" w:space="0"/>
              <w:bottom w:val="single" w:color="auto" w:sz="4" w:space="0"/>
              <w:right w:val="single" w:color="auto" w:sz="4" w:space="0"/>
            </w:tcBorders>
            <w:vAlign w:val="center"/>
          </w:tcPr>
          <w:p w14:paraId="453E1167">
            <w:pPr>
              <w:spacing w:line="360" w:lineRule="auto"/>
              <w:jc w:val="center"/>
              <w:rPr>
                <w:rFonts w:ascii="宋体" w:hAnsi="宋体" w:cs="宋体"/>
                <w:szCs w:val="21"/>
              </w:rPr>
            </w:pPr>
            <w:r>
              <w:rPr>
                <w:rFonts w:hint="eastAsia" w:ascii="宋体" w:hAnsi="宋体" w:cs="宋体"/>
                <w:szCs w:val="21"/>
              </w:rPr>
              <w:t>企业信誉</w:t>
            </w:r>
          </w:p>
        </w:tc>
        <w:tc>
          <w:tcPr>
            <w:tcW w:w="5605" w:type="dxa"/>
            <w:tcBorders>
              <w:top w:val="single" w:color="auto" w:sz="4" w:space="0"/>
              <w:left w:val="single" w:color="auto" w:sz="4" w:space="0"/>
              <w:bottom w:val="single" w:color="auto" w:sz="4" w:space="0"/>
              <w:right w:val="single" w:color="auto" w:sz="4" w:space="0"/>
            </w:tcBorders>
            <w:vAlign w:val="center"/>
          </w:tcPr>
          <w:p w14:paraId="679A40FB">
            <w:pPr>
              <w:rPr>
                <w:rFonts w:ascii="宋体" w:hAnsi="宋体" w:cs="宋体"/>
                <w:szCs w:val="21"/>
              </w:rPr>
            </w:pPr>
            <w:r>
              <w:rPr>
                <w:rFonts w:hint="eastAsia" w:ascii="宋体" w:hAnsi="宋体" w:cs="宋体"/>
                <w:szCs w:val="21"/>
              </w:rPr>
              <w:t>具有广东政府采购智慧云平台服务单位</w:t>
            </w:r>
            <w:r>
              <w:rPr>
                <w:rFonts w:ascii="宋体" w:hAnsi="宋体" w:cs="宋体"/>
                <w:szCs w:val="21"/>
              </w:rPr>
              <w:t>得</w:t>
            </w:r>
            <w:r>
              <w:rPr>
                <w:rFonts w:hint="eastAsia" w:ascii="宋体" w:hAnsi="宋体" w:cs="宋体"/>
                <w:szCs w:val="21"/>
              </w:rPr>
              <w:t>1分</w:t>
            </w:r>
          </w:p>
          <w:p w14:paraId="639A0370">
            <w:pPr>
              <w:rPr>
                <w:rFonts w:ascii="宋体" w:hAnsi="宋体" w:cs="宋体"/>
                <w:szCs w:val="21"/>
              </w:rPr>
            </w:pPr>
            <w:r>
              <w:rPr>
                <w:rFonts w:hint="eastAsia" w:ascii="宋体" w:hAnsi="宋体" w:cs="宋体"/>
                <w:szCs w:val="21"/>
              </w:rPr>
              <w:t>具有广东省网上中介服务超市平台服务单位</w:t>
            </w:r>
            <w:r>
              <w:rPr>
                <w:rFonts w:ascii="宋体" w:hAnsi="宋体" w:cs="宋体"/>
                <w:szCs w:val="21"/>
              </w:rPr>
              <w:t>得</w:t>
            </w:r>
            <w:r>
              <w:rPr>
                <w:rFonts w:hint="eastAsia" w:ascii="宋体" w:hAnsi="宋体" w:cs="宋体"/>
                <w:szCs w:val="21"/>
              </w:rPr>
              <w:t>1分</w:t>
            </w:r>
          </w:p>
          <w:p w14:paraId="3CF7B286">
            <w:pPr>
              <w:rPr>
                <w:rFonts w:ascii="宋体" w:hAnsi="宋体" w:cs="宋体"/>
                <w:szCs w:val="21"/>
              </w:rPr>
            </w:pPr>
            <w:r>
              <w:rPr>
                <w:rFonts w:hint="eastAsia" w:ascii="宋体" w:hAnsi="宋体" w:cs="宋体"/>
                <w:b/>
                <w:bCs/>
                <w:szCs w:val="21"/>
              </w:rPr>
              <w:t>（需提供相关证明材料，政府采购网截图复印件，否则不得分）</w:t>
            </w:r>
          </w:p>
        </w:tc>
        <w:tc>
          <w:tcPr>
            <w:tcW w:w="655" w:type="dxa"/>
            <w:tcBorders>
              <w:top w:val="single" w:color="auto" w:sz="4" w:space="0"/>
              <w:left w:val="single" w:color="auto" w:sz="4" w:space="0"/>
              <w:bottom w:val="single" w:color="auto" w:sz="4" w:space="0"/>
              <w:right w:val="single" w:color="auto" w:sz="4" w:space="0"/>
            </w:tcBorders>
            <w:vAlign w:val="center"/>
          </w:tcPr>
          <w:p w14:paraId="4EEA9425">
            <w:pPr>
              <w:spacing w:line="360" w:lineRule="auto"/>
              <w:jc w:val="center"/>
              <w:rPr>
                <w:rFonts w:ascii="宋体" w:hAnsi="宋体" w:cs="宋体"/>
                <w:szCs w:val="21"/>
              </w:rPr>
            </w:pPr>
            <w:r>
              <w:rPr>
                <w:rFonts w:hint="eastAsia" w:ascii="宋体" w:hAnsi="宋体" w:cs="宋体"/>
                <w:szCs w:val="21"/>
              </w:rPr>
              <w:t>2</w:t>
            </w:r>
          </w:p>
        </w:tc>
        <w:tc>
          <w:tcPr>
            <w:tcW w:w="812" w:type="dxa"/>
            <w:tcBorders>
              <w:top w:val="single" w:color="auto" w:sz="4" w:space="0"/>
              <w:left w:val="single" w:color="auto" w:sz="4" w:space="0"/>
              <w:bottom w:val="single" w:color="auto" w:sz="4" w:space="0"/>
              <w:right w:val="single" w:color="auto" w:sz="4" w:space="0"/>
            </w:tcBorders>
            <w:vAlign w:val="center"/>
          </w:tcPr>
          <w:p w14:paraId="0D56BB26">
            <w:pPr>
              <w:spacing w:line="360" w:lineRule="auto"/>
              <w:jc w:val="center"/>
              <w:rPr>
                <w:rFonts w:ascii="宋体" w:hAnsi="宋体" w:cs="宋体"/>
                <w:b/>
                <w:szCs w:val="21"/>
              </w:rPr>
            </w:pPr>
          </w:p>
        </w:tc>
        <w:tc>
          <w:tcPr>
            <w:tcW w:w="812" w:type="dxa"/>
            <w:tcBorders>
              <w:top w:val="single" w:color="auto" w:sz="4" w:space="0"/>
              <w:left w:val="single" w:color="auto" w:sz="4" w:space="0"/>
              <w:bottom w:val="single" w:color="auto" w:sz="4" w:space="0"/>
              <w:right w:val="single" w:color="auto" w:sz="4" w:space="0"/>
            </w:tcBorders>
            <w:vAlign w:val="center"/>
          </w:tcPr>
          <w:p w14:paraId="06D0BEEE">
            <w:pPr>
              <w:spacing w:line="360" w:lineRule="auto"/>
              <w:jc w:val="center"/>
              <w:rPr>
                <w:rFonts w:ascii="宋体" w:hAnsi="宋体" w:cs="宋体"/>
                <w:b/>
                <w:color w:val="000000" w:themeColor="text1"/>
                <w:szCs w:val="21"/>
                <w14:textFill>
                  <w14:solidFill>
                    <w14:schemeClr w14:val="tx1"/>
                  </w14:solidFill>
                </w14:textFill>
              </w:rPr>
            </w:pPr>
          </w:p>
        </w:tc>
        <w:tc>
          <w:tcPr>
            <w:tcW w:w="773" w:type="dxa"/>
            <w:tcBorders>
              <w:top w:val="single" w:color="auto" w:sz="4" w:space="0"/>
              <w:left w:val="single" w:color="auto" w:sz="4" w:space="0"/>
              <w:bottom w:val="single" w:color="auto" w:sz="4" w:space="0"/>
              <w:right w:val="single" w:color="auto" w:sz="4" w:space="0"/>
            </w:tcBorders>
            <w:vAlign w:val="center"/>
          </w:tcPr>
          <w:p w14:paraId="39A88192">
            <w:pPr>
              <w:spacing w:line="360" w:lineRule="auto"/>
              <w:jc w:val="center"/>
              <w:rPr>
                <w:rFonts w:ascii="宋体" w:hAnsi="宋体" w:cs="宋体"/>
                <w:b/>
                <w:color w:val="000000" w:themeColor="text1"/>
                <w:szCs w:val="21"/>
                <w14:textFill>
                  <w14:solidFill>
                    <w14:schemeClr w14:val="tx1"/>
                  </w14:solidFill>
                </w14:textFill>
              </w:rPr>
            </w:pPr>
          </w:p>
        </w:tc>
      </w:tr>
      <w:tr w14:paraId="762BF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6717" w:type="dxa"/>
            <w:gridSpan w:val="2"/>
            <w:tcBorders>
              <w:top w:val="single" w:color="auto" w:sz="4" w:space="0"/>
              <w:left w:val="single" w:color="auto" w:sz="4" w:space="0"/>
              <w:bottom w:val="single" w:color="auto" w:sz="4" w:space="0"/>
              <w:right w:val="single" w:color="auto" w:sz="4" w:space="0"/>
            </w:tcBorders>
            <w:vAlign w:val="center"/>
          </w:tcPr>
          <w:p w14:paraId="6BE5CB77">
            <w:pPr>
              <w:spacing w:line="360" w:lineRule="auto"/>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合   计</w:t>
            </w:r>
          </w:p>
        </w:tc>
        <w:tc>
          <w:tcPr>
            <w:tcW w:w="655" w:type="dxa"/>
            <w:tcBorders>
              <w:top w:val="single" w:color="auto" w:sz="4" w:space="0"/>
              <w:left w:val="single" w:color="auto" w:sz="4" w:space="0"/>
              <w:bottom w:val="single" w:color="auto" w:sz="4" w:space="0"/>
              <w:right w:val="single" w:color="auto" w:sz="4" w:space="0"/>
            </w:tcBorders>
            <w:vAlign w:val="center"/>
          </w:tcPr>
          <w:p w14:paraId="61EB07F7">
            <w:pPr>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30</w:t>
            </w:r>
          </w:p>
        </w:tc>
        <w:tc>
          <w:tcPr>
            <w:tcW w:w="812" w:type="dxa"/>
            <w:tcBorders>
              <w:top w:val="single" w:color="auto" w:sz="4" w:space="0"/>
              <w:left w:val="single" w:color="auto" w:sz="4" w:space="0"/>
              <w:bottom w:val="single" w:color="auto" w:sz="4" w:space="0"/>
              <w:right w:val="single" w:color="auto" w:sz="4" w:space="0"/>
            </w:tcBorders>
            <w:vAlign w:val="center"/>
          </w:tcPr>
          <w:p w14:paraId="0BC191A2">
            <w:pPr>
              <w:spacing w:line="360" w:lineRule="auto"/>
              <w:jc w:val="center"/>
              <w:rPr>
                <w:rFonts w:ascii="宋体" w:hAnsi="宋体" w:cs="宋体"/>
                <w:b/>
                <w:color w:val="000000" w:themeColor="text1"/>
                <w:szCs w:val="21"/>
                <w14:textFill>
                  <w14:solidFill>
                    <w14:schemeClr w14:val="tx1"/>
                  </w14:solidFill>
                </w14:textFill>
              </w:rPr>
            </w:pPr>
          </w:p>
        </w:tc>
        <w:tc>
          <w:tcPr>
            <w:tcW w:w="812" w:type="dxa"/>
            <w:tcBorders>
              <w:top w:val="single" w:color="auto" w:sz="4" w:space="0"/>
              <w:left w:val="single" w:color="auto" w:sz="4" w:space="0"/>
              <w:bottom w:val="single" w:color="auto" w:sz="4" w:space="0"/>
              <w:right w:val="single" w:color="auto" w:sz="4" w:space="0"/>
            </w:tcBorders>
            <w:vAlign w:val="center"/>
          </w:tcPr>
          <w:p w14:paraId="206AED91">
            <w:pPr>
              <w:spacing w:line="360" w:lineRule="auto"/>
              <w:jc w:val="center"/>
              <w:rPr>
                <w:rFonts w:ascii="宋体" w:hAnsi="宋体" w:cs="宋体"/>
                <w:b/>
                <w:color w:val="000000" w:themeColor="text1"/>
                <w:szCs w:val="21"/>
                <w14:textFill>
                  <w14:solidFill>
                    <w14:schemeClr w14:val="tx1"/>
                  </w14:solidFill>
                </w14:textFill>
              </w:rPr>
            </w:pPr>
          </w:p>
        </w:tc>
        <w:tc>
          <w:tcPr>
            <w:tcW w:w="773" w:type="dxa"/>
            <w:tcBorders>
              <w:top w:val="single" w:color="auto" w:sz="4" w:space="0"/>
              <w:left w:val="single" w:color="auto" w:sz="4" w:space="0"/>
              <w:bottom w:val="single" w:color="auto" w:sz="4" w:space="0"/>
              <w:right w:val="single" w:color="auto" w:sz="4" w:space="0"/>
            </w:tcBorders>
            <w:vAlign w:val="center"/>
          </w:tcPr>
          <w:p w14:paraId="38C189DE">
            <w:pPr>
              <w:spacing w:line="360" w:lineRule="auto"/>
              <w:jc w:val="center"/>
              <w:rPr>
                <w:rFonts w:ascii="宋体" w:hAnsi="宋体" w:cs="宋体"/>
                <w:b/>
                <w:color w:val="000000" w:themeColor="text1"/>
                <w:szCs w:val="21"/>
                <w14:textFill>
                  <w14:solidFill>
                    <w14:schemeClr w14:val="tx1"/>
                  </w14:solidFill>
                </w14:textFill>
              </w:rPr>
            </w:pPr>
          </w:p>
        </w:tc>
      </w:tr>
    </w:tbl>
    <w:p w14:paraId="02CEAC17">
      <w:pPr>
        <w:adjustRightInd w:val="0"/>
        <w:snapToGrid w:val="0"/>
        <w:spacing w:line="276" w:lineRule="auto"/>
        <w:rPr>
          <w:rFonts w:ascii="宋体" w:hAnsi="宋体" w:cs="仿宋_GB2312"/>
          <w:bCs/>
          <w:color w:val="000000" w:themeColor="text1"/>
          <w:szCs w:val="18"/>
          <w14:textFill>
            <w14:solidFill>
              <w14:schemeClr w14:val="tx1"/>
            </w14:solidFill>
          </w14:textFill>
        </w:rPr>
      </w:pPr>
      <w:r>
        <w:rPr>
          <w:rFonts w:hint="eastAsia" w:ascii="宋体" w:hAnsi="宋体" w:cs="仿宋_GB2312"/>
          <w:bCs/>
          <w:snapToGrid w:val="0"/>
          <w:color w:val="000000" w:themeColor="text1"/>
          <w:kern w:val="0"/>
          <w:szCs w:val="18"/>
          <w14:textFill>
            <w14:solidFill>
              <w14:schemeClr w14:val="tx1"/>
            </w14:solidFill>
          </w14:textFill>
        </w:rPr>
        <w:t>注：</w:t>
      </w:r>
      <w:r>
        <w:rPr>
          <w:rFonts w:hint="eastAsia" w:ascii="宋体" w:hAnsi="宋体" w:cs="仿宋_GB2312"/>
          <w:bCs/>
          <w:color w:val="000000" w:themeColor="text1"/>
          <w:szCs w:val="18"/>
          <w14:textFill>
            <w14:solidFill>
              <w14:schemeClr w14:val="tx1"/>
            </w14:solidFill>
          </w14:textFill>
        </w:rPr>
        <w:t>1、各评委按规定的范围内进行量化打分，并统计总分。</w:t>
      </w:r>
    </w:p>
    <w:p w14:paraId="4B90D267">
      <w:pPr>
        <w:adjustRightInd w:val="0"/>
        <w:snapToGrid w:val="0"/>
        <w:spacing w:line="276" w:lineRule="auto"/>
        <w:rPr>
          <w:rFonts w:ascii="宋体" w:hAnsi="宋体" w:cs="仿宋_GB2312"/>
          <w:bCs/>
          <w:color w:val="000000" w:themeColor="text1"/>
          <w:szCs w:val="18"/>
          <w14:textFill>
            <w14:solidFill>
              <w14:schemeClr w14:val="tx1"/>
            </w14:solidFill>
          </w14:textFill>
        </w:rPr>
      </w:pPr>
      <w:r>
        <w:rPr>
          <w:rFonts w:hint="eastAsia" w:ascii="宋体" w:hAnsi="宋体" w:cs="仿宋_GB2312"/>
          <w:bCs/>
          <w:color w:val="000000" w:themeColor="text1"/>
          <w:szCs w:val="18"/>
          <w14:textFill>
            <w14:solidFill>
              <w14:schemeClr w14:val="tx1"/>
            </w14:solidFill>
          </w14:textFill>
        </w:rPr>
        <w:t xml:space="preserve">2、本表中如有要求提交的与评分项目相关的各类证明文件或资料，投标人未按要求提交的，该项评分为零分。                    </w:t>
      </w:r>
    </w:p>
    <w:p w14:paraId="6FE74D2D">
      <w:pPr>
        <w:adjustRightInd w:val="0"/>
        <w:snapToGrid w:val="0"/>
        <w:spacing w:line="276" w:lineRule="auto"/>
        <w:rPr>
          <w:rFonts w:ascii="宋体" w:hAnsi="宋体" w:cs="仿宋_GB2312"/>
          <w:bCs/>
          <w:color w:val="000000" w:themeColor="text1"/>
          <w:szCs w:val="18"/>
          <w14:textFill>
            <w14:solidFill>
              <w14:schemeClr w14:val="tx1"/>
            </w14:solidFill>
          </w14:textFill>
        </w:rPr>
      </w:pPr>
      <w:r>
        <w:rPr>
          <w:rFonts w:hint="eastAsia" w:ascii="宋体" w:hAnsi="宋体" w:cs="仿宋_GB2312"/>
          <w:bCs/>
          <w:color w:val="000000" w:themeColor="text1"/>
          <w:szCs w:val="18"/>
          <w14:textFill>
            <w14:solidFill>
              <w14:schemeClr w14:val="tx1"/>
            </w14:solidFill>
          </w14:textFill>
        </w:rPr>
        <w:t>3、本表中如有要求提交的与评分项目相关的各类证明文件或资料，需清晰反映相关的数据及印章等，如模糊不清无法辨别的，视为未按要求提交，该项评分为零分。</w:t>
      </w:r>
    </w:p>
    <w:p w14:paraId="165FB334">
      <w:pPr>
        <w:adjustRightInd w:val="0"/>
        <w:snapToGrid w:val="0"/>
        <w:spacing w:line="276" w:lineRule="auto"/>
        <w:rPr>
          <w:rFonts w:ascii="宋体" w:hAnsi="宋体" w:cs="仿宋_GB2312"/>
          <w:bCs/>
          <w:color w:val="000000" w:themeColor="text1"/>
          <w:szCs w:val="18"/>
          <w14:textFill>
            <w14:solidFill>
              <w14:schemeClr w14:val="tx1"/>
            </w14:solidFill>
          </w14:textFill>
        </w:rPr>
      </w:pPr>
      <w:r>
        <w:rPr>
          <w:rFonts w:hint="eastAsia" w:ascii="宋体" w:hAnsi="宋体" w:cs="仿宋_GB2312"/>
          <w:bCs/>
          <w:color w:val="000000" w:themeColor="text1"/>
          <w:szCs w:val="18"/>
          <w14:textFill>
            <w14:solidFill>
              <w14:schemeClr w14:val="tx1"/>
            </w14:solidFill>
          </w14:textFill>
        </w:rPr>
        <w:t>4、本表要求提供的证书等证明文件，如有有效期的，须在有效期内，否则不予得分。</w:t>
      </w:r>
    </w:p>
    <w:p w14:paraId="32E6799B">
      <w:pPr>
        <w:pStyle w:val="2"/>
        <w:tabs>
          <w:tab w:val="left" w:pos="920"/>
          <w:tab w:val="left" w:pos="1080"/>
        </w:tabs>
        <w:adjustRightInd w:val="0"/>
        <w:snapToGrid w:val="0"/>
        <w:ind w:firstLine="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b</w:t>
      </w:r>
      <w:r>
        <w:rPr>
          <w:rFonts w:hint="eastAsia" w:ascii="宋体" w:hAnsi="宋体"/>
          <w:color w:val="000000" w:themeColor="text1"/>
          <w:sz w:val="24"/>
          <w14:textFill>
            <w14:solidFill>
              <w14:schemeClr w14:val="tx1"/>
            </w14:solidFill>
          </w14:textFill>
        </w:rPr>
        <w:t>.技术评价：</w:t>
      </w:r>
    </w:p>
    <w:p w14:paraId="6DC58A03">
      <w:pPr>
        <w:pStyle w:val="2"/>
        <w:tabs>
          <w:tab w:val="left" w:pos="1080"/>
        </w:tabs>
        <w:adjustRightInd w:val="0"/>
        <w:snapToGrid w:val="0"/>
        <w:ind w:firstLine="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各评委对通过符合性审查的投标人对照采购需求各项技术要求进行评审和比较，并量化打分（评价打分内容详见技术评价表）；各个评委对某一投标人的算术平均值，并取小数点后的2位数，作为该投标人的技术评价得分。</w:t>
      </w:r>
    </w:p>
    <w:p w14:paraId="194ED3E8">
      <w:pPr>
        <w:pStyle w:val="2"/>
        <w:tabs>
          <w:tab w:val="left" w:pos="1080"/>
        </w:tabs>
        <w:adjustRightInd w:val="0"/>
        <w:snapToGrid w:val="0"/>
        <w:ind w:left="560" w:firstLine="0"/>
        <w:rPr>
          <w:rFonts w:ascii="宋体" w:hAnsi="宋体"/>
          <w:color w:val="000000" w:themeColor="text1"/>
          <w:sz w:val="24"/>
          <w14:textFill>
            <w14:solidFill>
              <w14:schemeClr w14:val="tx1"/>
            </w14:solidFill>
          </w14:textFill>
        </w:rPr>
      </w:pPr>
    </w:p>
    <w:p w14:paraId="4A8BCC60">
      <w:pPr>
        <w:spacing w:line="360" w:lineRule="auto"/>
        <w:jc w:val="center"/>
        <w:rPr>
          <w:rFonts w:ascii="宋体" w:hAnsi="宋体" w:cs="仿宋_GB2312"/>
          <w:b/>
          <w:bCs/>
          <w:color w:val="000000" w:themeColor="text1"/>
          <w:sz w:val="28"/>
          <w:szCs w:val="28"/>
          <w14:textFill>
            <w14:solidFill>
              <w14:schemeClr w14:val="tx1"/>
            </w14:solidFill>
          </w14:textFill>
        </w:rPr>
      </w:pPr>
      <w:r>
        <w:rPr>
          <w:rFonts w:hint="eastAsia" w:ascii="宋体" w:hAnsi="宋体" w:cs="仿宋_GB2312"/>
          <w:b/>
          <w:bCs/>
          <w:color w:val="000000" w:themeColor="text1"/>
          <w:sz w:val="28"/>
          <w:szCs w:val="28"/>
          <w14:textFill>
            <w14:solidFill>
              <w14:schemeClr w14:val="tx1"/>
            </w14:solidFill>
          </w14:textFill>
        </w:rPr>
        <w:t>技术评价表</w:t>
      </w:r>
    </w:p>
    <w:tbl>
      <w:tblPr>
        <w:tblStyle w:val="6"/>
        <w:tblW w:w="105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1"/>
        <w:gridCol w:w="6435"/>
        <w:gridCol w:w="860"/>
        <w:gridCol w:w="565"/>
        <w:gridCol w:w="567"/>
        <w:gridCol w:w="567"/>
      </w:tblGrid>
      <w:tr w14:paraId="0EDDA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1581" w:type="dxa"/>
            <w:vAlign w:val="center"/>
          </w:tcPr>
          <w:p w14:paraId="7AC60E8D">
            <w:pPr>
              <w:spacing w:line="360" w:lineRule="auto"/>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评审项目</w:t>
            </w:r>
          </w:p>
        </w:tc>
        <w:tc>
          <w:tcPr>
            <w:tcW w:w="6435" w:type="dxa"/>
            <w:vAlign w:val="center"/>
          </w:tcPr>
          <w:p w14:paraId="0E059E6A">
            <w:pPr>
              <w:spacing w:line="360" w:lineRule="auto"/>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评分细则</w:t>
            </w:r>
          </w:p>
        </w:tc>
        <w:tc>
          <w:tcPr>
            <w:tcW w:w="860" w:type="dxa"/>
            <w:vAlign w:val="center"/>
          </w:tcPr>
          <w:p w14:paraId="0A9C8D9B">
            <w:pPr>
              <w:spacing w:line="360" w:lineRule="auto"/>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分值</w:t>
            </w:r>
          </w:p>
        </w:tc>
        <w:tc>
          <w:tcPr>
            <w:tcW w:w="565" w:type="dxa"/>
            <w:vAlign w:val="center"/>
          </w:tcPr>
          <w:p w14:paraId="22680DB8">
            <w:pPr>
              <w:spacing w:line="360" w:lineRule="auto"/>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A公司</w:t>
            </w:r>
          </w:p>
        </w:tc>
        <w:tc>
          <w:tcPr>
            <w:tcW w:w="567" w:type="dxa"/>
            <w:vAlign w:val="center"/>
          </w:tcPr>
          <w:p w14:paraId="043EFF88">
            <w:pPr>
              <w:spacing w:line="360" w:lineRule="auto"/>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B公司</w:t>
            </w:r>
          </w:p>
        </w:tc>
        <w:tc>
          <w:tcPr>
            <w:tcW w:w="567" w:type="dxa"/>
            <w:vAlign w:val="center"/>
          </w:tcPr>
          <w:p w14:paraId="0665FB72">
            <w:pPr>
              <w:spacing w:line="360" w:lineRule="auto"/>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C公司</w:t>
            </w:r>
          </w:p>
        </w:tc>
      </w:tr>
      <w:tr w14:paraId="2E523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jc w:val="center"/>
        </w:trPr>
        <w:tc>
          <w:tcPr>
            <w:tcW w:w="1581" w:type="dxa"/>
            <w:vAlign w:val="center"/>
          </w:tcPr>
          <w:p w14:paraId="56716343">
            <w:pPr>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维护保养方案的总体说明等</w:t>
            </w:r>
          </w:p>
        </w:tc>
        <w:tc>
          <w:tcPr>
            <w:tcW w:w="6435" w:type="dxa"/>
            <w:vAlign w:val="center"/>
          </w:tcPr>
          <w:p w14:paraId="0EA9A906">
            <w:pPr>
              <w:spacing w:line="360" w:lineRule="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投标人</w:t>
            </w:r>
            <w:r>
              <w:rPr>
                <w:rFonts w:ascii="宋体" w:hAnsi="宋体" w:cs="宋体"/>
                <w:color w:val="000000" w:themeColor="text1"/>
                <w:szCs w:val="21"/>
                <w14:textFill>
                  <w14:solidFill>
                    <w14:schemeClr w14:val="tx1"/>
                  </w14:solidFill>
                </w14:textFill>
              </w:rPr>
              <w:t>依据招标公告中的</w:t>
            </w:r>
            <w:r>
              <w:rPr>
                <w:rFonts w:hint="eastAsia" w:ascii="宋体" w:hAnsi="宋体" w:cs="宋体"/>
                <w:color w:val="000000" w:themeColor="text1"/>
                <w:szCs w:val="21"/>
                <w14:textFill>
                  <w14:solidFill>
                    <w14:schemeClr w14:val="tx1"/>
                  </w14:solidFill>
                </w14:textFill>
              </w:rPr>
              <w:t>“项目</w:t>
            </w:r>
            <w:r>
              <w:rPr>
                <w:rFonts w:ascii="宋体" w:hAnsi="宋体" w:cs="宋体"/>
                <w:color w:val="000000" w:themeColor="text1"/>
                <w:szCs w:val="21"/>
                <w14:textFill>
                  <w14:solidFill>
                    <w14:schemeClr w14:val="tx1"/>
                  </w14:solidFill>
                </w14:textFill>
              </w:rPr>
              <w:t>服务要求</w:t>
            </w:r>
            <w:r>
              <w:rPr>
                <w:rFonts w:hint="eastAsia" w:ascii="宋体" w:hAnsi="宋体" w:cs="宋体"/>
                <w:color w:val="000000" w:themeColor="text1"/>
                <w:szCs w:val="21"/>
                <w14:textFill>
                  <w14:solidFill>
                    <w14:schemeClr w14:val="tx1"/>
                  </w14:solidFill>
                </w14:textFill>
              </w:rPr>
              <w:t>”及</w:t>
            </w:r>
            <w:r>
              <w:rPr>
                <w:rFonts w:ascii="宋体" w:hAnsi="宋体" w:cs="宋体"/>
                <w:color w:val="000000" w:themeColor="text1"/>
                <w:szCs w:val="21"/>
                <w14:textFill>
                  <w14:solidFill>
                    <w14:schemeClr w14:val="tx1"/>
                  </w14:solidFill>
                </w14:textFill>
              </w:rPr>
              <w:t>“</w:t>
            </w:r>
            <w:r>
              <w:rPr>
                <w:rFonts w:hint="eastAsia" w:ascii="宋体" w:hAnsi="宋体" w:cs="宋体"/>
                <w:color w:val="000000" w:themeColor="text1"/>
                <w:szCs w:val="21"/>
                <w14:textFill>
                  <w14:solidFill>
                    <w14:schemeClr w14:val="tx1"/>
                  </w14:solidFill>
                </w14:textFill>
              </w:rPr>
              <w:t>维护</w:t>
            </w:r>
            <w:r>
              <w:rPr>
                <w:rFonts w:ascii="宋体" w:hAnsi="宋体" w:cs="宋体"/>
                <w:color w:val="000000" w:themeColor="text1"/>
                <w:szCs w:val="21"/>
                <w14:textFill>
                  <w14:solidFill>
                    <w14:schemeClr w14:val="tx1"/>
                  </w14:solidFill>
                </w14:textFill>
              </w:rPr>
              <w:t>保养检测组织方案要求”</w:t>
            </w:r>
            <w:r>
              <w:rPr>
                <w:rFonts w:hint="eastAsia" w:ascii="宋体" w:hAnsi="宋体" w:cs="宋体"/>
                <w:color w:val="000000" w:themeColor="text1"/>
                <w:szCs w:val="21"/>
                <w14:textFill>
                  <w14:solidFill>
                    <w14:schemeClr w14:val="tx1"/>
                  </w14:solidFill>
                </w14:textFill>
              </w:rPr>
              <w:t>提供</w:t>
            </w:r>
            <w:r>
              <w:rPr>
                <w:rFonts w:ascii="宋体" w:hAnsi="宋体" w:cs="宋体"/>
                <w:color w:val="000000" w:themeColor="text1"/>
                <w:szCs w:val="21"/>
                <w14:textFill>
                  <w14:solidFill>
                    <w14:schemeClr w14:val="tx1"/>
                  </w14:solidFill>
                </w14:textFill>
              </w:rPr>
              <w:t>维护保养方案，</w:t>
            </w:r>
            <w:r>
              <w:rPr>
                <w:rFonts w:hint="eastAsia" w:ascii="宋体" w:hAnsi="宋体" w:cs="宋体"/>
                <w:color w:val="000000" w:themeColor="text1"/>
                <w:szCs w:val="21"/>
                <w14:textFill>
                  <w14:solidFill>
                    <w14:schemeClr w14:val="tx1"/>
                  </w14:solidFill>
                </w14:textFill>
              </w:rPr>
              <w:t>对项目熟悉了解程度及对维保的重点、难点、疑点分析、对巡查、保养、检测、故障排除、联动测试及用户需求等内容理解彻底、组织实施思路清晰合理、人员工种分工准确合理，具有详细完善的消防系统维保手册。优得10分；良得7分；中得3分；差得1分。</w:t>
            </w:r>
          </w:p>
        </w:tc>
        <w:tc>
          <w:tcPr>
            <w:tcW w:w="860" w:type="dxa"/>
            <w:vAlign w:val="center"/>
          </w:tcPr>
          <w:p w14:paraId="6E812313">
            <w:pPr>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10</w:t>
            </w:r>
          </w:p>
        </w:tc>
        <w:tc>
          <w:tcPr>
            <w:tcW w:w="565" w:type="dxa"/>
            <w:vAlign w:val="center"/>
          </w:tcPr>
          <w:p w14:paraId="4F8F1213">
            <w:pPr>
              <w:spacing w:line="360" w:lineRule="auto"/>
              <w:jc w:val="center"/>
              <w:rPr>
                <w:rFonts w:ascii="宋体" w:hAnsi="宋体" w:cs="宋体"/>
                <w:color w:val="000000" w:themeColor="text1"/>
                <w:szCs w:val="21"/>
                <w14:textFill>
                  <w14:solidFill>
                    <w14:schemeClr w14:val="tx1"/>
                  </w14:solidFill>
                </w14:textFill>
              </w:rPr>
            </w:pPr>
          </w:p>
        </w:tc>
        <w:tc>
          <w:tcPr>
            <w:tcW w:w="567" w:type="dxa"/>
            <w:vAlign w:val="center"/>
          </w:tcPr>
          <w:p w14:paraId="5E5AE288">
            <w:pPr>
              <w:spacing w:line="360" w:lineRule="auto"/>
              <w:rPr>
                <w:rFonts w:ascii="宋体" w:hAnsi="宋体" w:cs="宋体"/>
                <w:color w:val="000000" w:themeColor="text1"/>
                <w:szCs w:val="21"/>
                <w14:textFill>
                  <w14:solidFill>
                    <w14:schemeClr w14:val="tx1"/>
                  </w14:solidFill>
                </w14:textFill>
              </w:rPr>
            </w:pPr>
          </w:p>
        </w:tc>
        <w:tc>
          <w:tcPr>
            <w:tcW w:w="567" w:type="dxa"/>
            <w:vAlign w:val="center"/>
          </w:tcPr>
          <w:p w14:paraId="380CE159">
            <w:pPr>
              <w:spacing w:line="360" w:lineRule="auto"/>
              <w:rPr>
                <w:rFonts w:ascii="宋体" w:hAnsi="宋体" w:cs="宋体"/>
                <w:color w:val="000000" w:themeColor="text1"/>
                <w:szCs w:val="21"/>
                <w14:textFill>
                  <w14:solidFill>
                    <w14:schemeClr w14:val="tx1"/>
                  </w14:solidFill>
                </w14:textFill>
              </w:rPr>
            </w:pPr>
          </w:p>
        </w:tc>
      </w:tr>
      <w:tr w14:paraId="60DCC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1581" w:type="dxa"/>
            <w:vAlign w:val="center"/>
          </w:tcPr>
          <w:p w14:paraId="7419C844">
            <w:pPr>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服务能力</w:t>
            </w:r>
          </w:p>
        </w:tc>
        <w:tc>
          <w:tcPr>
            <w:tcW w:w="6435" w:type="dxa"/>
            <w:vAlign w:val="center"/>
          </w:tcPr>
          <w:p w14:paraId="4989C9EA">
            <w:pPr>
              <w:spacing w:line="360" w:lineRule="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服务能力（包括本地化服务机构设置、应急反应速度、接到故障电话后能否快速制定并执行解决措施等情况）优得5分；中得3分；差得1分。</w:t>
            </w:r>
          </w:p>
        </w:tc>
        <w:tc>
          <w:tcPr>
            <w:tcW w:w="860" w:type="dxa"/>
            <w:vAlign w:val="center"/>
          </w:tcPr>
          <w:p w14:paraId="7AEBC19B">
            <w:pPr>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w:t>
            </w:r>
          </w:p>
        </w:tc>
        <w:tc>
          <w:tcPr>
            <w:tcW w:w="565" w:type="dxa"/>
            <w:vAlign w:val="center"/>
          </w:tcPr>
          <w:p w14:paraId="7D2ED356">
            <w:pPr>
              <w:spacing w:line="360" w:lineRule="auto"/>
              <w:jc w:val="center"/>
              <w:rPr>
                <w:rFonts w:ascii="宋体" w:hAnsi="宋体" w:cs="宋体"/>
                <w:color w:val="000000" w:themeColor="text1"/>
                <w:szCs w:val="21"/>
                <w14:textFill>
                  <w14:solidFill>
                    <w14:schemeClr w14:val="tx1"/>
                  </w14:solidFill>
                </w14:textFill>
              </w:rPr>
            </w:pPr>
          </w:p>
        </w:tc>
        <w:tc>
          <w:tcPr>
            <w:tcW w:w="567" w:type="dxa"/>
            <w:vAlign w:val="center"/>
          </w:tcPr>
          <w:p w14:paraId="0EF72FD0">
            <w:pPr>
              <w:spacing w:line="360" w:lineRule="auto"/>
              <w:rPr>
                <w:rFonts w:ascii="宋体" w:hAnsi="宋体" w:cs="宋体"/>
                <w:color w:val="000000" w:themeColor="text1"/>
                <w:szCs w:val="21"/>
                <w14:textFill>
                  <w14:solidFill>
                    <w14:schemeClr w14:val="tx1"/>
                  </w14:solidFill>
                </w14:textFill>
              </w:rPr>
            </w:pPr>
          </w:p>
        </w:tc>
        <w:tc>
          <w:tcPr>
            <w:tcW w:w="567" w:type="dxa"/>
            <w:vAlign w:val="center"/>
          </w:tcPr>
          <w:p w14:paraId="541654F5">
            <w:pPr>
              <w:spacing w:line="360" w:lineRule="auto"/>
              <w:rPr>
                <w:rFonts w:ascii="宋体" w:hAnsi="宋体" w:cs="宋体"/>
                <w:color w:val="000000" w:themeColor="text1"/>
                <w:szCs w:val="21"/>
                <w14:textFill>
                  <w14:solidFill>
                    <w14:schemeClr w14:val="tx1"/>
                  </w14:solidFill>
                </w14:textFill>
              </w:rPr>
            </w:pPr>
          </w:p>
        </w:tc>
      </w:tr>
      <w:tr w14:paraId="7B199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581" w:type="dxa"/>
            <w:vAlign w:val="center"/>
          </w:tcPr>
          <w:p w14:paraId="52D0F227">
            <w:pPr>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现场维保人员的组织架构</w:t>
            </w:r>
          </w:p>
        </w:tc>
        <w:tc>
          <w:tcPr>
            <w:tcW w:w="6435" w:type="dxa"/>
            <w:vAlign w:val="center"/>
          </w:tcPr>
          <w:p w14:paraId="4C6390AD">
            <w:pPr>
              <w:spacing w:line="360" w:lineRule="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根据用户需求的投入维保人员横向对比。优得5分；中得3分；差得1分（提供人员组织架构及人员资质证书复印件）。</w:t>
            </w:r>
          </w:p>
        </w:tc>
        <w:tc>
          <w:tcPr>
            <w:tcW w:w="860" w:type="dxa"/>
            <w:vAlign w:val="center"/>
          </w:tcPr>
          <w:p w14:paraId="73A1BA1C">
            <w:pPr>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w:t>
            </w:r>
          </w:p>
        </w:tc>
        <w:tc>
          <w:tcPr>
            <w:tcW w:w="565" w:type="dxa"/>
            <w:vAlign w:val="center"/>
          </w:tcPr>
          <w:p w14:paraId="7C9528F0">
            <w:pPr>
              <w:spacing w:line="360" w:lineRule="auto"/>
              <w:jc w:val="center"/>
              <w:rPr>
                <w:rFonts w:ascii="宋体" w:hAnsi="宋体" w:cs="宋体"/>
                <w:color w:val="000000" w:themeColor="text1"/>
                <w:szCs w:val="21"/>
                <w14:textFill>
                  <w14:solidFill>
                    <w14:schemeClr w14:val="tx1"/>
                  </w14:solidFill>
                </w14:textFill>
              </w:rPr>
            </w:pPr>
          </w:p>
        </w:tc>
        <w:tc>
          <w:tcPr>
            <w:tcW w:w="567" w:type="dxa"/>
            <w:vAlign w:val="center"/>
          </w:tcPr>
          <w:p w14:paraId="05832B99">
            <w:pPr>
              <w:spacing w:line="360" w:lineRule="auto"/>
              <w:rPr>
                <w:rFonts w:ascii="宋体" w:hAnsi="宋体" w:cs="宋体"/>
                <w:color w:val="000000" w:themeColor="text1"/>
                <w:szCs w:val="21"/>
                <w14:textFill>
                  <w14:solidFill>
                    <w14:schemeClr w14:val="tx1"/>
                  </w14:solidFill>
                </w14:textFill>
              </w:rPr>
            </w:pPr>
          </w:p>
        </w:tc>
        <w:tc>
          <w:tcPr>
            <w:tcW w:w="567" w:type="dxa"/>
            <w:vAlign w:val="center"/>
          </w:tcPr>
          <w:p w14:paraId="48E3E3B0">
            <w:pPr>
              <w:spacing w:line="360" w:lineRule="auto"/>
              <w:rPr>
                <w:rFonts w:ascii="宋体" w:hAnsi="宋体" w:cs="宋体"/>
                <w:color w:val="000000" w:themeColor="text1"/>
                <w:szCs w:val="21"/>
                <w14:textFill>
                  <w14:solidFill>
                    <w14:schemeClr w14:val="tx1"/>
                  </w14:solidFill>
                </w14:textFill>
              </w:rPr>
            </w:pPr>
          </w:p>
        </w:tc>
      </w:tr>
      <w:tr w14:paraId="38B91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1581" w:type="dxa"/>
            <w:vAlign w:val="center"/>
          </w:tcPr>
          <w:p w14:paraId="0041EC36">
            <w:pPr>
              <w:spacing w:line="360" w:lineRule="auto"/>
              <w:ind w:left="-105" w:leftChars="-50" w:right="-105" w:rightChars="-50"/>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维护保养工具设备表</w:t>
            </w:r>
          </w:p>
        </w:tc>
        <w:tc>
          <w:tcPr>
            <w:tcW w:w="6435" w:type="dxa"/>
            <w:vAlign w:val="center"/>
          </w:tcPr>
          <w:p w14:paraId="1CC7E1E6">
            <w:pPr>
              <w:tabs>
                <w:tab w:val="left" w:pos="900"/>
                <w:tab w:val="left" w:pos="1140"/>
              </w:tabs>
              <w:spacing w:line="360" w:lineRule="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维护保养工具能完全满足保养、检测、故障排除、巡查工作的要求。优得5分；中得3分；差得1分。</w:t>
            </w:r>
          </w:p>
        </w:tc>
        <w:tc>
          <w:tcPr>
            <w:tcW w:w="860" w:type="dxa"/>
            <w:vAlign w:val="center"/>
          </w:tcPr>
          <w:p w14:paraId="1807A93B">
            <w:pPr>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w:t>
            </w:r>
          </w:p>
        </w:tc>
        <w:tc>
          <w:tcPr>
            <w:tcW w:w="565" w:type="dxa"/>
            <w:vAlign w:val="center"/>
          </w:tcPr>
          <w:p w14:paraId="2B1630BF">
            <w:pPr>
              <w:spacing w:line="360" w:lineRule="auto"/>
              <w:jc w:val="center"/>
              <w:rPr>
                <w:rFonts w:ascii="宋体" w:hAnsi="宋体" w:cs="宋体"/>
                <w:color w:val="000000" w:themeColor="text1"/>
                <w:szCs w:val="21"/>
                <w14:textFill>
                  <w14:solidFill>
                    <w14:schemeClr w14:val="tx1"/>
                  </w14:solidFill>
                </w14:textFill>
              </w:rPr>
            </w:pPr>
          </w:p>
        </w:tc>
        <w:tc>
          <w:tcPr>
            <w:tcW w:w="567" w:type="dxa"/>
            <w:vAlign w:val="center"/>
          </w:tcPr>
          <w:p w14:paraId="129B386D">
            <w:pPr>
              <w:spacing w:line="360" w:lineRule="auto"/>
              <w:rPr>
                <w:rFonts w:ascii="宋体" w:hAnsi="宋体" w:cs="宋体"/>
                <w:color w:val="000000" w:themeColor="text1"/>
                <w:szCs w:val="21"/>
                <w14:textFill>
                  <w14:solidFill>
                    <w14:schemeClr w14:val="tx1"/>
                  </w14:solidFill>
                </w14:textFill>
              </w:rPr>
            </w:pPr>
          </w:p>
        </w:tc>
        <w:tc>
          <w:tcPr>
            <w:tcW w:w="567" w:type="dxa"/>
            <w:vAlign w:val="center"/>
          </w:tcPr>
          <w:p w14:paraId="5C573914">
            <w:pPr>
              <w:spacing w:line="360" w:lineRule="auto"/>
              <w:rPr>
                <w:rFonts w:ascii="宋体" w:hAnsi="宋体" w:cs="宋体"/>
                <w:color w:val="000000" w:themeColor="text1"/>
                <w:szCs w:val="21"/>
                <w14:textFill>
                  <w14:solidFill>
                    <w14:schemeClr w14:val="tx1"/>
                  </w14:solidFill>
                </w14:textFill>
              </w:rPr>
            </w:pPr>
          </w:p>
        </w:tc>
      </w:tr>
      <w:tr w14:paraId="1DA70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581" w:type="dxa"/>
            <w:vAlign w:val="center"/>
          </w:tcPr>
          <w:p w14:paraId="1D19448B">
            <w:pPr>
              <w:spacing w:line="360" w:lineRule="auto"/>
              <w:ind w:left="-105" w:leftChars="-50" w:right="-105" w:rightChars="-50"/>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维护保养工作的操作规程</w:t>
            </w:r>
          </w:p>
        </w:tc>
        <w:tc>
          <w:tcPr>
            <w:tcW w:w="6435" w:type="dxa"/>
            <w:vAlign w:val="center"/>
          </w:tcPr>
          <w:p w14:paraId="173336C7">
            <w:pPr>
              <w:spacing w:line="360" w:lineRule="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巡查、保养、检测、故障排除均有相应的技术标准完全按操作规程的大纲进行编写。完全符合得5分；基本符合得3分；不符合得0分。</w:t>
            </w:r>
          </w:p>
        </w:tc>
        <w:tc>
          <w:tcPr>
            <w:tcW w:w="860" w:type="dxa"/>
            <w:vAlign w:val="center"/>
          </w:tcPr>
          <w:p w14:paraId="27BF3EBA">
            <w:pPr>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w:t>
            </w:r>
          </w:p>
        </w:tc>
        <w:tc>
          <w:tcPr>
            <w:tcW w:w="565" w:type="dxa"/>
            <w:vAlign w:val="center"/>
          </w:tcPr>
          <w:p w14:paraId="66ED9163">
            <w:pPr>
              <w:spacing w:line="360" w:lineRule="auto"/>
              <w:jc w:val="center"/>
              <w:rPr>
                <w:rFonts w:ascii="宋体" w:hAnsi="宋体" w:cs="宋体"/>
                <w:color w:val="000000" w:themeColor="text1"/>
                <w:szCs w:val="21"/>
                <w14:textFill>
                  <w14:solidFill>
                    <w14:schemeClr w14:val="tx1"/>
                  </w14:solidFill>
                </w14:textFill>
              </w:rPr>
            </w:pPr>
          </w:p>
        </w:tc>
        <w:tc>
          <w:tcPr>
            <w:tcW w:w="567" w:type="dxa"/>
            <w:vAlign w:val="center"/>
          </w:tcPr>
          <w:p w14:paraId="4EEDE150">
            <w:pPr>
              <w:spacing w:line="360" w:lineRule="auto"/>
              <w:rPr>
                <w:rFonts w:ascii="宋体" w:hAnsi="宋体" w:cs="宋体"/>
                <w:color w:val="000000" w:themeColor="text1"/>
                <w:szCs w:val="21"/>
                <w14:textFill>
                  <w14:solidFill>
                    <w14:schemeClr w14:val="tx1"/>
                  </w14:solidFill>
                </w14:textFill>
              </w:rPr>
            </w:pPr>
          </w:p>
        </w:tc>
        <w:tc>
          <w:tcPr>
            <w:tcW w:w="567" w:type="dxa"/>
            <w:vAlign w:val="center"/>
          </w:tcPr>
          <w:p w14:paraId="0F540C80">
            <w:pPr>
              <w:spacing w:line="360" w:lineRule="auto"/>
              <w:rPr>
                <w:rFonts w:ascii="宋体" w:hAnsi="宋体" w:cs="宋体"/>
                <w:color w:val="000000" w:themeColor="text1"/>
                <w:szCs w:val="21"/>
                <w14:textFill>
                  <w14:solidFill>
                    <w14:schemeClr w14:val="tx1"/>
                  </w14:solidFill>
                </w14:textFill>
              </w:rPr>
            </w:pPr>
          </w:p>
        </w:tc>
      </w:tr>
      <w:tr w14:paraId="20E73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581" w:type="dxa"/>
            <w:vAlign w:val="center"/>
          </w:tcPr>
          <w:p w14:paraId="4CCA8B75">
            <w:pPr>
              <w:spacing w:line="360" w:lineRule="auto"/>
              <w:ind w:left="-105" w:leftChars="-50" w:right="-105" w:rightChars="-50"/>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监督管理制度</w:t>
            </w:r>
          </w:p>
        </w:tc>
        <w:tc>
          <w:tcPr>
            <w:tcW w:w="6435" w:type="dxa"/>
            <w:vAlign w:val="center"/>
          </w:tcPr>
          <w:p w14:paraId="713E3F3F">
            <w:pPr>
              <w:tabs>
                <w:tab w:val="left" w:pos="1684"/>
              </w:tabs>
              <w:spacing w:line="360" w:lineRule="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针对维护保养工作完善性、具有服务行业特点的监督管理制度。优得5分；中得3分；差得1分。</w:t>
            </w:r>
          </w:p>
        </w:tc>
        <w:tc>
          <w:tcPr>
            <w:tcW w:w="860" w:type="dxa"/>
            <w:vAlign w:val="center"/>
          </w:tcPr>
          <w:p w14:paraId="3697B286">
            <w:pPr>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w:t>
            </w:r>
          </w:p>
        </w:tc>
        <w:tc>
          <w:tcPr>
            <w:tcW w:w="565" w:type="dxa"/>
            <w:vAlign w:val="center"/>
          </w:tcPr>
          <w:p w14:paraId="2694B81B">
            <w:pPr>
              <w:spacing w:line="360" w:lineRule="auto"/>
              <w:jc w:val="center"/>
              <w:rPr>
                <w:rFonts w:ascii="宋体" w:hAnsi="宋体" w:cs="宋体"/>
                <w:color w:val="000000" w:themeColor="text1"/>
                <w:szCs w:val="21"/>
                <w14:textFill>
                  <w14:solidFill>
                    <w14:schemeClr w14:val="tx1"/>
                  </w14:solidFill>
                </w14:textFill>
              </w:rPr>
            </w:pPr>
          </w:p>
        </w:tc>
        <w:tc>
          <w:tcPr>
            <w:tcW w:w="567" w:type="dxa"/>
            <w:vAlign w:val="center"/>
          </w:tcPr>
          <w:p w14:paraId="387369C0">
            <w:pPr>
              <w:spacing w:line="360" w:lineRule="auto"/>
              <w:rPr>
                <w:rFonts w:ascii="宋体" w:hAnsi="宋体" w:cs="宋体"/>
                <w:color w:val="000000" w:themeColor="text1"/>
                <w:szCs w:val="21"/>
                <w14:textFill>
                  <w14:solidFill>
                    <w14:schemeClr w14:val="tx1"/>
                  </w14:solidFill>
                </w14:textFill>
              </w:rPr>
            </w:pPr>
          </w:p>
        </w:tc>
        <w:tc>
          <w:tcPr>
            <w:tcW w:w="567" w:type="dxa"/>
            <w:vAlign w:val="center"/>
          </w:tcPr>
          <w:p w14:paraId="469BF094">
            <w:pPr>
              <w:spacing w:line="360" w:lineRule="auto"/>
              <w:rPr>
                <w:rFonts w:ascii="宋体" w:hAnsi="宋体" w:cs="宋体"/>
                <w:color w:val="000000" w:themeColor="text1"/>
                <w:szCs w:val="21"/>
                <w14:textFill>
                  <w14:solidFill>
                    <w14:schemeClr w14:val="tx1"/>
                  </w14:solidFill>
                </w14:textFill>
              </w:rPr>
            </w:pPr>
          </w:p>
        </w:tc>
      </w:tr>
      <w:tr w14:paraId="47DA5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1581" w:type="dxa"/>
            <w:vAlign w:val="center"/>
          </w:tcPr>
          <w:p w14:paraId="46D7BF26">
            <w:pPr>
              <w:spacing w:line="360" w:lineRule="auto"/>
              <w:ind w:left="-105" w:leftChars="-50" w:right="-105" w:rightChars="-50"/>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安全文明措施</w:t>
            </w:r>
          </w:p>
        </w:tc>
        <w:tc>
          <w:tcPr>
            <w:tcW w:w="6435" w:type="dxa"/>
            <w:vAlign w:val="center"/>
          </w:tcPr>
          <w:p w14:paraId="0B7C7825">
            <w:pPr>
              <w:spacing w:line="360" w:lineRule="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针对维护保养工作善、具有服务行业特点完善的安全文明措施。优得5分；中得3分；差得1分。</w:t>
            </w:r>
          </w:p>
        </w:tc>
        <w:tc>
          <w:tcPr>
            <w:tcW w:w="860" w:type="dxa"/>
            <w:vAlign w:val="center"/>
          </w:tcPr>
          <w:p w14:paraId="750918F5">
            <w:pPr>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w:t>
            </w:r>
          </w:p>
        </w:tc>
        <w:tc>
          <w:tcPr>
            <w:tcW w:w="565" w:type="dxa"/>
            <w:vAlign w:val="center"/>
          </w:tcPr>
          <w:p w14:paraId="0A118E3F">
            <w:pPr>
              <w:spacing w:line="360" w:lineRule="auto"/>
              <w:jc w:val="center"/>
              <w:rPr>
                <w:rFonts w:ascii="宋体" w:hAnsi="宋体" w:cs="宋体"/>
                <w:color w:val="000000" w:themeColor="text1"/>
                <w:szCs w:val="21"/>
                <w14:textFill>
                  <w14:solidFill>
                    <w14:schemeClr w14:val="tx1"/>
                  </w14:solidFill>
                </w14:textFill>
              </w:rPr>
            </w:pPr>
          </w:p>
        </w:tc>
        <w:tc>
          <w:tcPr>
            <w:tcW w:w="567" w:type="dxa"/>
            <w:vAlign w:val="center"/>
          </w:tcPr>
          <w:p w14:paraId="10AD191A">
            <w:pPr>
              <w:spacing w:line="360" w:lineRule="auto"/>
              <w:rPr>
                <w:rFonts w:ascii="宋体" w:hAnsi="宋体" w:cs="宋体"/>
                <w:color w:val="000000" w:themeColor="text1"/>
                <w:szCs w:val="21"/>
                <w14:textFill>
                  <w14:solidFill>
                    <w14:schemeClr w14:val="tx1"/>
                  </w14:solidFill>
                </w14:textFill>
              </w:rPr>
            </w:pPr>
          </w:p>
        </w:tc>
        <w:tc>
          <w:tcPr>
            <w:tcW w:w="567" w:type="dxa"/>
            <w:vAlign w:val="center"/>
          </w:tcPr>
          <w:p w14:paraId="30F6D670">
            <w:pPr>
              <w:spacing w:line="360" w:lineRule="auto"/>
              <w:rPr>
                <w:rFonts w:ascii="宋体" w:hAnsi="宋体" w:cs="宋体"/>
                <w:color w:val="000000" w:themeColor="text1"/>
                <w:szCs w:val="21"/>
                <w14:textFill>
                  <w14:solidFill>
                    <w14:schemeClr w14:val="tx1"/>
                  </w14:solidFill>
                </w14:textFill>
              </w:rPr>
            </w:pPr>
          </w:p>
        </w:tc>
      </w:tr>
      <w:tr w14:paraId="7F8A3E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jc w:val="center"/>
        </w:trPr>
        <w:tc>
          <w:tcPr>
            <w:tcW w:w="1581" w:type="dxa"/>
            <w:vAlign w:val="center"/>
          </w:tcPr>
          <w:p w14:paraId="40024B0C">
            <w:pPr>
              <w:spacing w:line="360" w:lineRule="auto"/>
              <w:ind w:left="-105" w:leftChars="-50" w:right="-105" w:rightChars="-50"/>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维护保养各种工作表格及档案管理</w:t>
            </w:r>
          </w:p>
        </w:tc>
        <w:tc>
          <w:tcPr>
            <w:tcW w:w="6435" w:type="dxa"/>
            <w:vAlign w:val="center"/>
          </w:tcPr>
          <w:p w14:paraId="24B48596">
            <w:pPr>
              <w:spacing w:line="360" w:lineRule="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维护保养各项工作均有相应的记录表格，能如实准确的反映工作情况，及档案资料建立管理，优得5分；中得3分；差得1分；无法反映工作情况，得0分。</w:t>
            </w:r>
          </w:p>
        </w:tc>
        <w:tc>
          <w:tcPr>
            <w:tcW w:w="860" w:type="dxa"/>
            <w:vAlign w:val="center"/>
          </w:tcPr>
          <w:p w14:paraId="24107CEF">
            <w:pPr>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w:t>
            </w:r>
          </w:p>
        </w:tc>
        <w:tc>
          <w:tcPr>
            <w:tcW w:w="565" w:type="dxa"/>
            <w:vAlign w:val="center"/>
          </w:tcPr>
          <w:p w14:paraId="2A5ACFBF">
            <w:pPr>
              <w:spacing w:line="360" w:lineRule="auto"/>
              <w:jc w:val="center"/>
              <w:rPr>
                <w:rFonts w:ascii="宋体" w:hAnsi="宋体" w:cs="宋体"/>
                <w:color w:val="000000" w:themeColor="text1"/>
                <w:szCs w:val="21"/>
                <w14:textFill>
                  <w14:solidFill>
                    <w14:schemeClr w14:val="tx1"/>
                  </w14:solidFill>
                </w14:textFill>
              </w:rPr>
            </w:pPr>
          </w:p>
        </w:tc>
        <w:tc>
          <w:tcPr>
            <w:tcW w:w="567" w:type="dxa"/>
            <w:vAlign w:val="center"/>
          </w:tcPr>
          <w:p w14:paraId="60B2FE56">
            <w:pPr>
              <w:spacing w:line="360" w:lineRule="auto"/>
              <w:rPr>
                <w:rFonts w:ascii="宋体" w:hAnsi="宋体" w:cs="宋体"/>
                <w:color w:val="000000" w:themeColor="text1"/>
                <w:szCs w:val="21"/>
                <w14:textFill>
                  <w14:solidFill>
                    <w14:schemeClr w14:val="tx1"/>
                  </w14:solidFill>
                </w14:textFill>
              </w:rPr>
            </w:pPr>
          </w:p>
        </w:tc>
        <w:tc>
          <w:tcPr>
            <w:tcW w:w="567" w:type="dxa"/>
            <w:vAlign w:val="center"/>
          </w:tcPr>
          <w:p w14:paraId="23797F31">
            <w:pPr>
              <w:spacing w:line="360" w:lineRule="auto"/>
              <w:rPr>
                <w:rFonts w:ascii="宋体" w:hAnsi="宋体" w:cs="宋体"/>
                <w:color w:val="000000" w:themeColor="text1"/>
                <w:szCs w:val="21"/>
                <w14:textFill>
                  <w14:solidFill>
                    <w14:schemeClr w14:val="tx1"/>
                  </w14:solidFill>
                </w14:textFill>
              </w:rPr>
            </w:pPr>
          </w:p>
        </w:tc>
      </w:tr>
      <w:tr w14:paraId="1A680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581" w:type="dxa"/>
            <w:vAlign w:val="center"/>
          </w:tcPr>
          <w:p w14:paraId="5E3D63BB">
            <w:pPr>
              <w:spacing w:line="360" w:lineRule="auto"/>
              <w:ind w:left="-105" w:leftChars="-50" w:right="-105" w:rightChars="-50"/>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火灾突发事件应急处理方案</w:t>
            </w:r>
          </w:p>
        </w:tc>
        <w:tc>
          <w:tcPr>
            <w:tcW w:w="6435" w:type="dxa"/>
            <w:vAlign w:val="center"/>
          </w:tcPr>
          <w:p w14:paraId="1D7852BE">
            <w:pPr>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火灾突发事件应急处理方案。优得5分；中得3分；差得1分。</w:t>
            </w:r>
          </w:p>
        </w:tc>
        <w:tc>
          <w:tcPr>
            <w:tcW w:w="860" w:type="dxa"/>
            <w:vAlign w:val="center"/>
          </w:tcPr>
          <w:p w14:paraId="4F9B9A1C">
            <w:pPr>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w:t>
            </w:r>
          </w:p>
        </w:tc>
        <w:tc>
          <w:tcPr>
            <w:tcW w:w="565" w:type="dxa"/>
            <w:vAlign w:val="center"/>
          </w:tcPr>
          <w:p w14:paraId="05BC4C62">
            <w:pPr>
              <w:spacing w:line="360" w:lineRule="auto"/>
              <w:jc w:val="center"/>
              <w:rPr>
                <w:rFonts w:ascii="宋体" w:hAnsi="宋体" w:cs="宋体"/>
                <w:color w:val="000000" w:themeColor="text1"/>
                <w:szCs w:val="21"/>
                <w14:textFill>
                  <w14:solidFill>
                    <w14:schemeClr w14:val="tx1"/>
                  </w14:solidFill>
                </w14:textFill>
              </w:rPr>
            </w:pPr>
          </w:p>
        </w:tc>
        <w:tc>
          <w:tcPr>
            <w:tcW w:w="567" w:type="dxa"/>
            <w:vAlign w:val="center"/>
          </w:tcPr>
          <w:p w14:paraId="549CD335">
            <w:pPr>
              <w:spacing w:line="360" w:lineRule="auto"/>
              <w:rPr>
                <w:rFonts w:ascii="宋体" w:hAnsi="宋体" w:cs="宋体"/>
                <w:color w:val="000000" w:themeColor="text1"/>
                <w:szCs w:val="21"/>
                <w14:textFill>
                  <w14:solidFill>
                    <w14:schemeClr w14:val="tx1"/>
                  </w14:solidFill>
                </w14:textFill>
              </w:rPr>
            </w:pPr>
          </w:p>
        </w:tc>
        <w:tc>
          <w:tcPr>
            <w:tcW w:w="567" w:type="dxa"/>
            <w:vAlign w:val="center"/>
          </w:tcPr>
          <w:p w14:paraId="4522C5BA">
            <w:pPr>
              <w:spacing w:line="360" w:lineRule="auto"/>
              <w:rPr>
                <w:rFonts w:ascii="宋体" w:hAnsi="宋体" w:cs="宋体"/>
                <w:color w:val="000000" w:themeColor="text1"/>
                <w:szCs w:val="21"/>
                <w14:textFill>
                  <w14:solidFill>
                    <w14:schemeClr w14:val="tx1"/>
                  </w14:solidFill>
                </w14:textFill>
              </w:rPr>
            </w:pPr>
          </w:p>
        </w:tc>
      </w:tr>
      <w:tr w14:paraId="62F45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8016" w:type="dxa"/>
            <w:gridSpan w:val="2"/>
            <w:vAlign w:val="center"/>
          </w:tcPr>
          <w:p w14:paraId="7AA6EB68">
            <w:pPr>
              <w:spacing w:line="360" w:lineRule="auto"/>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合   计</w:t>
            </w:r>
          </w:p>
        </w:tc>
        <w:tc>
          <w:tcPr>
            <w:tcW w:w="860" w:type="dxa"/>
            <w:vAlign w:val="center"/>
          </w:tcPr>
          <w:p w14:paraId="2D5AB78A">
            <w:pPr>
              <w:spacing w:line="360" w:lineRule="auto"/>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50</w:t>
            </w:r>
          </w:p>
        </w:tc>
        <w:tc>
          <w:tcPr>
            <w:tcW w:w="565" w:type="dxa"/>
            <w:vAlign w:val="center"/>
          </w:tcPr>
          <w:p w14:paraId="7F7DAC1A">
            <w:pPr>
              <w:spacing w:line="360" w:lineRule="auto"/>
              <w:jc w:val="center"/>
              <w:rPr>
                <w:rFonts w:ascii="宋体" w:hAnsi="宋体" w:cs="宋体"/>
                <w:color w:val="000000" w:themeColor="text1"/>
                <w:szCs w:val="21"/>
                <w14:textFill>
                  <w14:solidFill>
                    <w14:schemeClr w14:val="tx1"/>
                  </w14:solidFill>
                </w14:textFill>
              </w:rPr>
            </w:pPr>
          </w:p>
        </w:tc>
        <w:tc>
          <w:tcPr>
            <w:tcW w:w="567" w:type="dxa"/>
            <w:vAlign w:val="center"/>
          </w:tcPr>
          <w:p w14:paraId="642F4956">
            <w:pPr>
              <w:spacing w:line="360" w:lineRule="auto"/>
              <w:rPr>
                <w:rFonts w:ascii="宋体" w:hAnsi="宋体" w:cs="宋体"/>
                <w:color w:val="000000" w:themeColor="text1"/>
                <w:szCs w:val="21"/>
                <w14:textFill>
                  <w14:solidFill>
                    <w14:schemeClr w14:val="tx1"/>
                  </w14:solidFill>
                </w14:textFill>
              </w:rPr>
            </w:pPr>
          </w:p>
        </w:tc>
        <w:tc>
          <w:tcPr>
            <w:tcW w:w="567" w:type="dxa"/>
            <w:vAlign w:val="center"/>
          </w:tcPr>
          <w:p w14:paraId="53459047">
            <w:pPr>
              <w:spacing w:line="360" w:lineRule="auto"/>
              <w:rPr>
                <w:rFonts w:ascii="宋体" w:hAnsi="宋体" w:cs="宋体"/>
                <w:color w:val="000000" w:themeColor="text1"/>
                <w:szCs w:val="21"/>
                <w14:textFill>
                  <w14:solidFill>
                    <w14:schemeClr w14:val="tx1"/>
                  </w14:solidFill>
                </w14:textFill>
              </w:rPr>
            </w:pPr>
          </w:p>
        </w:tc>
      </w:tr>
    </w:tbl>
    <w:p w14:paraId="6C6DD8CA">
      <w:pPr>
        <w:adjustRightInd w:val="0"/>
        <w:snapToGrid w:val="0"/>
        <w:spacing w:line="276" w:lineRule="auto"/>
        <w:rPr>
          <w:rFonts w:ascii="宋体" w:hAnsi="宋体" w:cs="仿宋_GB2312"/>
          <w:bCs/>
          <w:color w:val="000000" w:themeColor="text1"/>
          <w:szCs w:val="18"/>
          <w14:textFill>
            <w14:solidFill>
              <w14:schemeClr w14:val="tx1"/>
            </w14:solidFill>
          </w14:textFill>
        </w:rPr>
      </w:pPr>
      <w:r>
        <w:rPr>
          <w:rFonts w:hint="eastAsia" w:ascii="宋体" w:hAnsi="宋体" w:cs="仿宋_GB2312"/>
          <w:bCs/>
          <w:snapToGrid w:val="0"/>
          <w:color w:val="000000" w:themeColor="text1"/>
          <w:kern w:val="0"/>
          <w:szCs w:val="18"/>
          <w14:textFill>
            <w14:solidFill>
              <w14:schemeClr w14:val="tx1"/>
            </w14:solidFill>
          </w14:textFill>
        </w:rPr>
        <w:t>注：</w:t>
      </w:r>
      <w:r>
        <w:rPr>
          <w:rFonts w:hint="eastAsia" w:ascii="宋体" w:hAnsi="宋体" w:cs="仿宋_GB2312"/>
          <w:bCs/>
          <w:color w:val="000000" w:themeColor="text1"/>
          <w:szCs w:val="18"/>
          <w14:textFill>
            <w14:solidFill>
              <w14:schemeClr w14:val="tx1"/>
            </w14:solidFill>
          </w14:textFill>
        </w:rPr>
        <w:t>1、各评委按规定的范围内进行量化打分，并统计总分。</w:t>
      </w:r>
    </w:p>
    <w:p w14:paraId="280D5E7B">
      <w:pPr>
        <w:adjustRightInd w:val="0"/>
        <w:snapToGrid w:val="0"/>
        <w:spacing w:line="276" w:lineRule="auto"/>
        <w:ind w:left="840" w:leftChars="200" w:hanging="420" w:hangingChars="200"/>
        <w:rPr>
          <w:rFonts w:ascii="宋体" w:hAnsi="宋体" w:cs="仿宋_GB2312"/>
          <w:bCs/>
          <w:color w:val="000000" w:themeColor="text1"/>
          <w:szCs w:val="18"/>
          <w14:textFill>
            <w14:solidFill>
              <w14:schemeClr w14:val="tx1"/>
            </w14:solidFill>
          </w14:textFill>
        </w:rPr>
      </w:pPr>
      <w:r>
        <w:rPr>
          <w:rFonts w:hint="eastAsia" w:ascii="宋体" w:hAnsi="宋体" w:cs="仿宋_GB2312"/>
          <w:bCs/>
          <w:color w:val="000000" w:themeColor="text1"/>
          <w:szCs w:val="18"/>
          <w14:textFill>
            <w14:solidFill>
              <w14:schemeClr w14:val="tx1"/>
            </w14:solidFill>
          </w14:textFill>
        </w:rPr>
        <w:t xml:space="preserve">2、本表中如要求提交的与评分项目相关的各类证明文件或资料，投标人未按要求提交的，该项评分为零分。                    </w:t>
      </w:r>
    </w:p>
    <w:p w14:paraId="797CDA3E">
      <w:pPr>
        <w:adjustRightInd w:val="0"/>
        <w:snapToGrid w:val="0"/>
        <w:spacing w:line="276" w:lineRule="auto"/>
        <w:ind w:left="735" w:leftChars="200" w:hanging="315" w:hangingChars="150"/>
        <w:rPr>
          <w:rFonts w:ascii="宋体" w:hAnsi="宋体" w:cs="仿宋_GB2312"/>
          <w:bCs/>
          <w:color w:val="000000" w:themeColor="text1"/>
          <w:szCs w:val="18"/>
          <w14:textFill>
            <w14:solidFill>
              <w14:schemeClr w14:val="tx1"/>
            </w14:solidFill>
          </w14:textFill>
        </w:rPr>
      </w:pPr>
      <w:r>
        <w:rPr>
          <w:rFonts w:hint="eastAsia" w:ascii="宋体" w:hAnsi="宋体" w:cs="仿宋_GB2312"/>
          <w:bCs/>
          <w:color w:val="000000" w:themeColor="text1"/>
          <w:szCs w:val="18"/>
          <w14:textFill>
            <w14:solidFill>
              <w14:schemeClr w14:val="tx1"/>
            </w14:solidFill>
          </w14:textFill>
        </w:rPr>
        <w:t>3、本表中如有要求提交的与评分项目相关的各类证明文件或资料，需清晰反映相关的数据及印章等，如模糊不清无法辨别的，视为未按要求提交，该项评分为零分。</w:t>
      </w:r>
    </w:p>
    <w:p w14:paraId="70416DD3">
      <w:pPr>
        <w:adjustRightInd w:val="0"/>
        <w:snapToGrid w:val="0"/>
        <w:spacing w:line="276" w:lineRule="auto"/>
        <w:ind w:firstLine="420" w:firstLineChars="200"/>
        <w:rPr>
          <w:rFonts w:ascii="宋体" w:hAnsi="宋体" w:cs="仿宋_GB2312"/>
          <w:bCs/>
          <w:color w:val="000000" w:themeColor="text1"/>
          <w:szCs w:val="18"/>
          <w14:textFill>
            <w14:solidFill>
              <w14:schemeClr w14:val="tx1"/>
            </w14:solidFill>
          </w14:textFill>
        </w:rPr>
      </w:pPr>
      <w:r>
        <w:rPr>
          <w:rFonts w:hint="eastAsia" w:ascii="宋体" w:hAnsi="宋体" w:cs="仿宋_GB2312"/>
          <w:bCs/>
          <w:color w:val="000000" w:themeColor="text1"/>
          <w:szCs w:val="18"/>
          <w14:textFill>
            <w14:solidFill>
              <w14:schemeClr w14:val="tx1"/>
            </w14:solidFill>
          </w14:textFill>
        </w:rPr>
        <w:t>4、本表要求提供的证书等证明文件，如有有效期的，须在有效期内，否则不予得分。</w:t>
      </w:r>
    </w:p>
    <w:p w14:paraId="1F18D7EB">
      <w:pPr>
        <w:pStyle w:val="2"/>
        <w:tabs>
          <w:tab w:val="left" w:pos="1080"/>
        </w:tabs>
        <w:adjustRightInd w:val="0"/>
        <w:snapToGrid w:val="0"/>
        <w:ind w:left="560" w:firstLine="0"/>
        <w:rPr>
          <w:rFonts w:ascii="宋体" w:hAnsi="宋体"/>
          <w:color w:val="000000" w:themeColor="text1"/>
          <w:sz w:val="24"/>
          <w14:textFill>
            <w14:solidFill>
              <w14:schemeClr w14:val="tx1"/>
            </w14:solidFill>
          </w14:textFill>
        </w:rPr>
      </w:pPr>
    </w:p>
    <w:p w14:paraId="49286471">
      <w:pPr>
        <w:pStyle w:val="2"/>
        <w:tabs>
          <w:tab w:val="left" w:pos="426"/>
          <w:tab w:val="left" w:pos="851"/>
        </w:tabs>
        <w:adjustRightInd w:val="0"/>
        <w:snapToGrid w:val="0"/>
        <w:ind w:left="567" w:firstLine="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c</w:t>
      </w:r>
      <w:r>
        <w:rPr>
          <w:rFonts w:hint="eastAsia" w:ascii="宋体" w:hAnsi="宋体"/>
          <w:color w:val="000000" w:themeColor="text1"/>
          <w:sz w:val="24"/>
          <w14:textFill>
            <w14:solidFill>
              <w14:schemeClr w14:val="tx1"/>
            </w14:solidFill>
          </w14:textFill>
        </w:rPr>
        <w:t>.价格评价：</w:t>
      </w:r>
    </w:p>
    <w:p w14:paraId="27D25C3E">
      <w:pPr>
        <w:pStyle w:val="2"/>
        <w:tabs>
          <w:tab w:val="left" w:pos="426"/>
          <w:tab w:val="left" w:pos="851"/>
        </w:tabs>
        <w:adjustRightInd w:val="0"/>
        <w:snapToGrid w:val="0"/>
        <w:ind w:left="567" w:firstLine="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投标人</w:t>
      </w:r>
      <w:r>
        <w:rPr>
          <w:rFonts w:ascii="宋体" w:hAnsi="宋体"/>
          <w:color w:val="000000" w:themeColor="text1"/>
          <w:sz w:val="24"/>
          <w14:textFill>
            <w14:solidFill>
              <w14:schemeClr w14:val="tx1"/>
            </w14:solidFill>
          </w14:textFill>
        </w:rPr>
        <w:t>依据招标公告中的项目内容进行报价，</w:t>
      </w:r>
      <w:r>
        <w:rPr>
          <w:rFonts w:hint="eastAsia" w:ascii="宋体" w:hAnsi="宋体"/>
          <w:color w:val="000000" w:themeColor="text1"/>
          <w:sz w:val="24"/>
          <w14:textFill>
            <w14:solidFill>
              <w14:schemeClr w14:val="tx1"/>
            </w14:solidFill>
          </w14:textFill>
        </w:rPr>
        <w:t>价格评价得分采用低价优先法计算，即通过资格性审查且评标价最低者的评标价为评标基准价，其价格评价得分为20分；其他投标人的价格评价得分按如下公式计算：</w:t>
      </w:r>
    </w:p>
    <w:p w14:paraId="3A6696CE">
      <w:pPr>
        <w:pStyle w:val="2"/>
        <w:adjustRightInd w:val="0"/>
        <w:snapToGrid w:val="0"/>
        <w:ind w:left="540" w:leftChars="257" w:firstLine="0"/>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A公司价格评价得分=（评标基准价÷A公司评标价）×20分</w:t>
      </w:r>
    </w:p>
    <w:p w14:paraId="134612FF">
      <w:pPr>
        <w:pStyle w:val="2"/>
        <w:adjustRightInd w:val="0"/>
        <w:snapToGrid w:val="0"/>
        <w:ind w:firstLine="56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d</w:t>
      </w:r>
      <w:r>
        <w:rPr>
          <w:rFonts w:hint="eastAsia" w:ascii="宋体" w:hAnsi="宋体"/>
          <w:color w:val="000000" w:themeColor="text1"/>
          <w:sz w:val="24"/>
          <w14:textFill>
            <w14:solidFill>
              <w14:schemeClr w14:val="tx1"/>
            </w14:solidFill>
          </w14:textFill>
        </w:rPr>
        <w:t>.综合比较与评价：</w:t>
      </w:r>
    </w:p>
    <w:p w14:paraId="2228EABA">
      <w:pPr>
        <w:pStyle w:val="2"/>
        <w:adjustRightInd w:val="0"/>
        <w:snapToGrid w:val="0"/>
        <w:ind w:left="540" w:leftChars="257" w:firstLine="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将投标人的技术评价得分、商务评价得分和价格评价得分相加，计算得出该投标人的综合评价得分。</w:t>
      </w:r>
    </w:p>
    <w:p w14:paraId="56FA8789">
      <w:pPr>
        <w:pStyle w:val="2"/>
        <w:adjustRightInd w:val="0"/>
        <w:snapToGrid w:val="0"/>
        <w:ind w:left="540" w:leftChars="257" w:firstLine="0"/>
        <w:rPr>
          <w:rFonts w:ascii="宋体" w:hAnsi="宋体"/>
          <w:color w:val="000000" w:themeColor="text1"/>
          <w:sz w:val="24"/>
          <w14:textFill>
            <w14:solidFill>
              <w14:schemeClr w14:val="tx1"/>
            </w14:solidFill>
          </w14:textFill>
        </w:rPr>
      </w:pPr>
    </w:p>
    <w:p w14:paraId="3F47DA6C">
      <w:pPr>
        <w:pStyle w:val="2"/>
        <w:adjustRightInd w:val="0"/>
        <w:snapToGrid w:val="0"/>
        <w:ind w:left="540" w:leftChars="257" w:firstLine="16" w:firstLineChars="7"/>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（三）推荐中标候选人名单：</w:t>
      </w:r>
      <w:r>
        <w:rPr>
          <w:rFonts w:hint="eastAsia" w:ascii="宋体" w:hAnsi="宋体"/>
          <w:color w:val="000000" w:themeColor="text1"/>
          <w:kern w:val="0"/>
          <w:sz w:val="24"/>
          <w:u w:val="single"/>
          <w14:textFill>
            <w14:solidFill>
              <w14:schemeClr w14:val="tx1"/>
            </w14:solidFill>
          </w14:textFill>
        </w:rPr>
        <w:t>评标小组将按投标人综合评价得分由高到低的原则对所有通过初审的投标人进行排序，推荐排名前2名的投标人为中标候选人，排名最靠前的为第一中标候选人</w:t>
      </w:r>
      <w:r>
        <w:rPr>
          <w:rFonts w:hint="eastAsia" w:ascii="宋体" w:hAnsi="宋体"/>
          <w:color w:val="000000" w:themeColor="text1"/>
          <w:kern w:val="0"/>
          <w:sz w:val="24"/>
          <w14:textFill>
            <w14:solidFill>
              <w14:schemeClr w14:val="tx1"/>
            </w14:solidFill>
          </w14:textFill>
        </w:rPr>
        <w:t>。</w:t>
      </w:r>
    </w:p>
    <w:p w14:paraId="391B73FA">
      <w:pPr>
        <w:spacing w:line="360" w:lineRule="auto"/>
        <w:rPr>
          <w:rFonts w:ascii="宋体" w:hAnsi="宋体"/>
          <w:b/>
          <w:color w:val="000000" w:themeColor="text1"/>
          <w:sz w:val="24"/>
          <w14:textFill>
            <w14:solidFill>
              <w14:schemeClr w14:val="tx1"/>
            </w14:solidFill>
          </w14:textFill>
        </w:rPr>
      </w:pPr>
      <w:r>
        <w:rPr>
          <w:rFonts w:ascii="宋体" w:hAnsi="宋体"/>
          <w:b/>
          <w:color w:val="000000" w:themeColor="text1"/>
          <w:sz w:val="24"/>
          <w14:textFill>
            <w14:solidFill>
              <w14:schemeClr w14:val="tx1"/>
            </w14:solidFill>
          </w14:textFill>
        </w:rPr>
        <w:t xml:space="preserve">     </w:t>
      </w:r>
    </w:p>
    <w:p w14:paraId="265B7E52">
      <w:pPr>
        <w:rPr>
          <w:color w:val="000000" w:themeColor="text1"/>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c4NmRmYjQ4NTBkMGQyODQ3MmFmMzgwZTcwMDQwZTcifQ=="/>
  </w:docVars>
  <w:rsids>
    <w:rsidRoot w:val="004E23EA"/>
    <w:rsid w:val="00051DD1"/>
    <w:rsid w:val="00142614"/>
    <w:rsid w:val="00144B70"/>
    <w:rsid w:val="001519F9"/>
    <w:rsid w:val="00220E09"/>
    <w:rsid w:val="00351C95"/>
    <w:rsid w:val="003E7B51"/>
    <w:rsid w:val="00417AFF"/>
    <w:rsid w:val="00444CFE"/>
    <w:rsid w:val="004E23EA"/>
    <w:rsid w:val="00586E48"/>
    <w:rsid w:val="005C71F1"/>
    <w:rsid w:val="006108AF"/>
    <w:rsid w:val="006559CB"/>
    <w:rsid w:val="00771BC8"/>
    <w:rsid w:val="0085237B"/>
    <w:rsid w:val="00884410"/>
    <w:rsid w:val="008917A7"/>
    <w:rsid w:val="00936A27"/>
    <w:rsid w:val="009D379D"/>
    <w:rsid w:val="00A264C4"/>
    <w:rsid w:val="00A55EF1"/>
    <w:rsid w:val="00D3206E"/>
    <w:rsid w:val="00DF5676"/>
    <w:rsid w:val="00E800CC"/>
    <w:rsid w:val="02574173"/>
    <w:rsid w:val="100476E8"/>
    <w:rsid w:val="13421E70"/>
    <w:rsid w:val="20593321"/>
    <w:rsid w:val="22FC0FDC"/>
    <w:rsid w:val="34D42664"/>
    <w:rsid w:val="3F9B3CEA"/>
    <w:rsid w:val="44D63512"/>
    <w:rsid w:val="458565AA"/>
    <w:rsid w:val="47FC6EA9"/>
    <w:rsid w:val="4EEB42E0"/>
    <w:rsid w:val="4F9106A3"/>
    <w:rsid w:val="5C815E95"/>
    <w:rsid w:val="62DD63F3"/>
    <w:rsid w:val="7AF05E02"/>
    <w:rsid w:val="7FF429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Normal Indent"/>
    <w:basedOn w:val="1"/>
    <w:link w:val="10"/>
    <w:qFormat/>
    <w:uiPriority w:val="0"/>
    <w:pPr>
      <w:spacing w:line="360" w:lineRule="auto"/>
      <w:ind w:firstLine="420"/>
      <w:jc w:val="left"/>
    </w:pPr>
    <w:rPr>
      <w:rFonts w:asciiTheme="minorHAnsi" w:hAnsiTheme="minorHAnsi" w:cstheme="minorBidi"/>
    </w:rPr>
  </w:style>
  <w:style w:type="paragraph" w:styleId="3">
    <w:name w:val="Plain Text"/>
    <w:basedOn w:val="1"/>
    <w:link w:val="11"/>
    <w:qFormat/>
    <w:uiPriority w:val="0"/>
    <w:rPr>
      <w:rFonts w:ascii="宋体" w:hAnsi="Courier New" w:cstheme="minorBidi"/>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字符"/>
    <w:basedOn w:val="7"/>
    <w:link w:val="5"/>
    <w:qFormat/>
    <w:uiPriority w:val="99"/>
    <w:rPr>
      <w:sz w:val="18"/>
      <w:szCs w:val="18"/>
    </w:rPr>
  </w:style>
  <w:style w:type="character" w:customStyle="1" w:styleId="9">
    <w:name w:val="页脚 字符"/>
    <w:basedOn w:val="7"/>
    <w:link w:val="4"/>
    <w:qFormat/>
    <w:uiPriority w:val="99"/>
    <w:rPr>
      <w:sz w:val="18"/>
      <w:szCs w:val="18"/>
    </w:rPr>
  </w:style>
  <w:style w:type="character" w:customStyle="1" w:styleId="10">
    <w:name w:val="正文缩进 字符"/>
    <w:link w:val="2"/>
    <w:qFormat/>
    <w:uiPriority w:val="0"/>
    <w:rPr>
      <w:rFonts w:eastAsia="宋体"/>
      <w:szCs w:val="24"/>
    </w:rPr>
  </w:style>
  <w:style w:type="character" w:customStyle="1" w:styleId="11">
    <w:name w:val="纯文本 字符1"/>
    <w:link w:val="3"/>
    <w:qFormat/>
    <w:uiPriority w:val="0"/>
    <w:rPr>
      <w:rFonts w:ascii="宋体" w:hAnsi="Courier New" w:eastAsia="宋体"/>
      <w:szCs w:val="24"/>
    </w:rPr>
  </w:style>
  <w:style w:type="character" w:customStyle="1" w:styleId="12">
    <w:name w:val="纯文本 字符"/>
    <w:basedOn w:val="7"/>
    <w:semiHidden/>
    <w:qFormat/>
    <w:uiPriority w:val="99"/>
    <w:rPr>
      <w:rFonts w:hAnsi="Courier New" w:cs="Courier New" w:asciiTheme="minorEastAsia"/>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2589</Words>
  <Characters>2627</Characters>
  <Lines>20</Lines>
  <Paragraphs>5</Paragraphs>
  <TotalTime>44</TotalTime>
  <ScaleCrop>false</ScaleCrop>
  <LinksUpToDate>false</LinksUpToDate>
  <CharactersWithSpaces>2679</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2023-12-07T06:22:00Z</dcterms:created>
  <dc:creator>王荣浩</dc:creator>
  <cp:lastModifiedBy>K</cp:lastModifiedBy>
  <dcterms:modified xsi:type="dcterms:W3CDTF">2024-11-25T04:29:49Z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6E44A9982F56436EBDF047E518D1201F_13</vt:lpwstr>
  </property>
</Properties>
</file>